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</w:pPr>
      <w:r>
        <w:rPr>
          <w:rFonts w:ascii="宋体" w:hAnsi="宋体" w:cs="宋体"/>
          <w:color w:val="000000"/>
          <w:kern w:val="0"/>
          <w:sz w:val="30"/>
          <w:szCs w:val="30"/>
        </w:rPr>
        <w:t>附件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二</w:t>
      </w:r>
    </w:p>
    <w:p>
      <w:pPr>
        <w:widowControl/>
        <w:spacing w:line="300" w:lineRule="atLeast"/>
        <w:jc w:val="center"/>
        <w:rPr>
          <w:rFonts w:hint="eastAsia" w:ascii="黑体" w:hAnsi="黑体" w:eastAsia="黑体" w:cs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国家基本公共卫生服务项目督查内容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考核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 xml:space="preserve">         考核时间：         考核人：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u w:val="single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</w:rPr>
        <w:t>一、组织管理情况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1、制度建设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 xml:space="preserve">   10（分）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成立基本公共卫生服务项目领导小组: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 xml:space="preserve">                 （1分）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成立家庭医生签约服务领导小组及家庭医生服务团队：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 xml:space="preserve">  （1分）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制定基本公共卫生服务项目资金具体管理办法：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 xml:space="preserve">        （1分）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制定公卫科年度工作方案：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 xml:space="preserve">                          （1分）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制定公卫科工作人员绩效分配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方案和落实情况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 xml:space="preserve">        （2分）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2018年度的公卫卫生整改报告：                     （1分）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公共卫生实施方案：                               （1分）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公卫半年总结和计划：                             （2分）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二、家庭医生签约完成情况    （8分）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重点人群签约率    （2分）      家庭医生签约率     （2分）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履约情况抽查     （4分）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三、整改落实情况     （10分）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需要整改条数      （条）       整改完成条数      （条）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整改率           （10分）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被检查单位签字：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D65FC"/>
    <w:rsid w:val="4A031044"/>
    <w:rsid w:val="4E65249F"/>
    <w:rsid w:val="6E454F38"/>
    <w:rsid w:val="790B59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238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2019-07-09T12:15:18Z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