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xml:space="preserve">  </w:t>
      </w:r>
      <w:r>
        <w:rPr>
          <w:rStyle w:val="4"/>
          <w:rFonts w:hint="default" w:ascii="Arial" w:hAnsi="Arial" w:eastAsia="宋体" w:cs="Arial"/>
          <w:i w:val="0"/>
          <w:iCs w:val="0"/>
          <w:caps w:val="0"/>
          <w:color w:val="222222"/>
          <w:spacing w:val="0"/>
          <w:sz w:val="28"/>
          <w:szCs w:val="28"/>
        </w:rPr>
        <w:t>黄石市白马山小学2021年度部门决算及“三公”经费决算情况说明</w:t>
      </w:r>
      <w:r>
        <w:rPr>
          <w:rStyle w:val="4"/>
          <w:rFonts w:hint="default" w:ascii="Arial" w:hAnsi="Arial" w:eastAsia="宋体" w:cs="Arial"/>
          <w:i w:val="0"/>
          <w:iCs w:val="0"/>
          <w:caps w:val="0"/>
          <w:color w:val="222222"/>
          <w:spacing w:val="0"/>
          <w:sz w:val="28"/>
          <w:szCs w:val="28"/>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1、机构设置情况：白马山小学是归属下陆区教育局管理的二级预算单位，单位类型为公益一类事业单位。学校内设置党务办公室、德育办公室、行政办公室、总务处、各年级组办公室等处室。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106名，其中行政编制 0 名，事业编制 106名。2021年年末在职在编人员98人，区聘 11人，退伍安置0人，退休人员0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240655" cy="4620895"/>
            <wp:effectExtent l="0" t="0" r="17145" b="825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240655" cy="462089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51450" cy="1196340"/>
            <wp:effectExtent l="0" t="0" r="6350" b="381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5251450" cy="119634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42560" cy="1931035"/>
            <wp:effectExtent l="0" t="0" r="15240" b="1206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42560" cy="193103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53990" cy="3916045"/>
            <wp:effectExtent l="0" t="0" r="3810" b="825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253990" cy="391604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45100" cy="2184400"/>
            <wp:effectExtent l="0" t="0" r="12700" b="635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8"/>
                    <a:stretch>
                      <a:fillRect/>
                    </a:stretch>
                  </pic:blipFill>
                  <pic:spPr>
                    <a:xfrm>
                      <a:off x="0" y="0"/>
                      <a:ext cx="5245100" cy="218440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86375" cy="3383915"/>
            <wp:effectExtent l="0" t="0" r="9525" b="698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286375" cy="338391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76850" cy="1247775"/>
            <wp:effectExtent l="0" t="0" r="0" b="9525"/>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0"/>
                    <a:stretch>
                      <a:fillRect/>
                    </a:stretch>
                  </pic:blipFill>
                  <pic:spPr>
                    <a:xfrm>
                      <a:off x="0" y="0"/>
                      <a:ext cx="5276850" cy="124777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78755" cy="1282700"/>
            <wp:effectExtent l="0" t="0" r="17145" b="12700"/>
            <wp:docPr id="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63"/>
                    <pic:cNvPicPr>
                      <a:picLocks noChangeAspect="1"/>
                    </pic:cNvPicPr>
                  </pic:nvPicPr>
                  <pic:blipFill>
                    <a:blip r:embed="rId11"/>
                    <a:stretch>
                      <a:fillRect/>
                    </a:stretch>
                  </pic:blipFill>
                  <pic:spPr>
                    <a:xfrm>
                      <a:off x="0" y="0"/>
                      <a:ext cx="5278755" cy="128270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br w:type="textWrapping"/>
      </w:r>
      <w:bookmarkStart w:id="0" w:name="_GoBack"/>
      <w:r>
        <w:rPr>
          <w:rStyle w:val="4"/>
          <w:rFonts w:hint="default" w:ascii="Arial" w:hAnsi="Arial" w:eastAsia="宋体" w:cs="Arial"/>
          <w:i w:val="0"/>
          <w:iCs w:val="0"/>
          <w:caps w:val="0"/>
          <w:color w:val="222222"/>
          <w:spacing w:val="0"/>
          <w:sz w:val="24"/>
          <w:szCs w:val="24"/>
        </w:rPr>
        <w:drawing>
          <wp:inline distT="0" distB="0" distL="114300" distR="114300">
            <wp:extent cx="5286375" cy="2049145"/>
            <wp:effectExtent l="0" t="0" r="9525" b="8255"/>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2"/>
                    <a:stretch>
                      <a:fillRect/>
                    </a:stretch>
                  </pic:blipFill>
                  <pic:spPr>
                    <a:xfrm>
                      <a:off x="0" y="0"/>
                      <a:ext cx="5286375" cy="2049145"/>
                    </a:xfrm>
                    <a:prstGeom prst="rect">
                      <a:avLst/>
                    </a:prstGeom>
                    <a:noFill/>
                    <a:ln w="9525">
                      <a:noFill/>
                    </a:ln>
                  </pic:spPr>
                </pic:pic>
              </a:graphicData>
            </a:graphic>
          </wp:inline>
        </w:drawing>
      </w:r>
      <w:bookmarkEnd w:id="0"/>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1881.42万元，较2020年度决算总收入1469.12万元增加了412.31万元，原因在于本年度新增22名教师，人员工资福利费收入增加。2021年度决算总支出合计3129.45万元，较2020年度决算总支出4103.20万元减少了973.75万元，原因在于本年度在建工程类支出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1881.42万元，其中：财政拨款收入1759.58万元，占总收入的93.52%，其他收入121.84万元，占总收入的6.48%。2021年决算收入较上年收入1469.12万元增加412.30万元，增幅28.07%，主要原因在于本年在职人员增加22人，人员经费增加。决算收入比年初预算收入1175.34万元增加706.08万元，增幅60.07%，主要原因在于本年在职人员增加22人，人员经费增加。</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3129.45万元，其中：基本支出3129.45万元，占总支出的100%，项目支出0万元。本年度总支出较上年度4103.20万元减少973.75万元，降幅23.73%，主要原因在于学校改扩建工程、学生服务中心、报告厅等在建工程支出减少。决算支出较年初预算支出1175.34万元增加1954.11万元，增幅166.26%，主要原因在于本年实际比预算增加了工程款的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（1）工资及福利支出1517.18万元，主要用于职工基本工资、津贴、补贴、奖金、社会保障缴费支出；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（2）商品及服务支出610.34万元，主要用于办公费用、印刷费、水电费、电话费、劳务费、工会福利费、交通费、委托业务费、维修费、专用材料费等支出；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（3）对个人和家庭的补助支出0万元；主要用于退休费、抚恤金、生活补助等支出；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（4）资本性支出1001.93万元；主要用于办公设备购置。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1759.58万元，同比增加23.09%，原因在于本年度新增22名教师，工资福利费财政拨款增加，2021年财政拨款支出总计3024.68万元，与年初预算数1175.34万元增加1849.34万元，原因是新增了教师，同时增加了比较性绩效的支出。与2020年决算数3613.33万元相比减少588.65万元，原因在于在建工程类财政拨款支出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五</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2021年一般公共预算财政拨款支出年初预算数为1175.34万元，支出年末决算数为3024.68万元，较2020年决算数减少588.65万元，降幅16.29%。与2021年预算数相比增加1849.34万元，原因是在建工程的支出增加。</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按支出功能分类，小学教育支出决算为2417.82万元，较上年增加693.86万元，增幅40.25%；其他保障性安居工程支出606.86万元，较上年减少1275.98万元，降幅67.77%。其他社会保障和就业支出0万元，较上年减少6.54万元。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2021年一般公共预算财政拨款基本支出3024.68万元，较上年减少588.65万元，降幅16.29%。主要原因在于学校改扩建工程、学生服务中心、报告厅等在建工程支出减少。</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其中，人员经费支出1458.51万元，较上年增加398.01万元，增幅37.53%。人员经费主要包括：基本工资、津贴补贴、奖金、社会保险缴费、离退休费、住房公积金、职业年金、机关事业单位养老保险等支出。日常公用经费支出1566.17万元，较上年减少986.66万元，降幅38.65%。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shd w:val="clear" w:fill="FFFFFF"/>
        </w:rPr>
        <w:t> </w:t>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shd w:val="clear" w:fill="FFFFFF"/>
        </w:rPr>
        <w:t> </w:t>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2021我单位政府预算采购计划金额为187.3万元，计划用于购买货物187.3万元，工程0万元，服务0万元。</w:t>
      </w:r>
      <w:r>
        <w:rPr>
          <w:rFonts w:hint="default" w:ascii="Arial" w:hAnsi="Arial" w:eastAsia="宋体" w:cs="Arial"/>
          <w:i w:val="0"/>
          <w:iCs w:val="0"/>
          <w:caps w:val="0"/>
          <w:color w:val="222222"/>
          <w:spacing w:val="0"/>
          <w:sz w:val="18"/>
          <w:szCs w:val="18"/>
          <w:shd w:val="clear" w:fill="FFFFFF"/>
        </w:rPr>
        <w:t> </w:t>
      </w:r>
      <w:r>
        <w:rPr>
          <w:rFonts w:hint="default" w:ascii="Arial" w:hAnsi="Arial" w:eastAsia="宋体" w:cs="Arial"/>
          <w:i w:val="0"/>
          <w:iCs w:val="0"/>
          <w:caps w:val="0"/>
          <w:color w:val="222222"/>
          <w:spacing w:val="0"/>
          <w:sz w:val="24"/>
          <w:szCs w:val="24"/>
        </w:rPr>
        <w:t>实际采购金额347.57万元，其中一般公共预算347.57万元，其他资金0万元；主要用于购买货物18.92万元，工程299.02万元，服务29.63万元。政府采购支出总额比2020年度1599.63万元减少1252.06万元，降幅78.27%，主要原因是去年学校改扩建工程增加。</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2021年度我单位共占有车辆数0台，其中：一般公务用车0台，一般执法执勤车辆0台；单价50万元以上通用设备1台；单价100万元以上专用设备0台。其他固定资产（不包含房屋）1125.57万元。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3ACF0654"/>
    <w:rsid w:val="3ACF0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2023-08-21T08:16:00Z</dcterms:created>
  <dc:creator>氕氘氚~</dc:creator>
  <cp:lastModifiedBy>氕氘氚~</cp:lastModifiedBy>
  <dcterms:modified xsi:type="dcterms:W3CDTF">2023-08-21T08:20:35Z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4BB03573915B47F3A0C1302DAC69E594_11</vt:lpwstr>
  </property>
</Properties>
</file>