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atLeast"/>
        <w:jc w:val="center"/>
        <w:rPr>
          <w:rFonts w:hint="default"/>
          <w:color w:val="003366"/>
          <w:sz w:val="36"/>
          <w:szCs w:val="36"/>
        </w:rPr>
      </w:pPr>
      <w:r>
        <w:rPr>
          <w:color w:val="auto"/>
          <w:sz w:val="36"/>
          <w:szCs w:val="36"/>
        </w:rPr>
        <w:t>下陆区招商服务中心2021年决算公开</w:t>
      </w:r>
    </w:p>
    <w:p>
      <w:pPr>
        <w:widowControl/>
        <w:spacing w:line="420" w:lineRule="atLeast"/>
        <w:jc w:val="center"/>
        <w:rPr>
          <w:szCs w:val="21"/>
        </w:rPr>
      </w:pPr>
      <w:r>
        <w:rPr>
          <w:rStyle w:val="9"/>
          <w:rFonts w:ascii="宋体" w:hAnsi="宋体" w:eastAsia="宋体" w:cs="宋体"/>
          <w:kern w:val="0"/>
          <w:sz w:val="33"/>
          <w:szCs w:val="33"/>
        </w:rPr>
        <w:t>目 　　 录</w:t>
      </w:r>
    </w:p>
    <w:p>
      <w:pPr>
        <w:widowControl/>
        <w:spacing w:before="300" w:line="420" w:lineRule="atLeast"/>
        <w:jc w:val="left"/>
        <w:rPr>
          <w:rStyle w:val="9"/>
          <w:rFonts w:ascii="宋体" w:hAnsi="宋体" w:eastAsia="宋体" w:cs="宋体"/>
          <w:kern w:val="0"/>
          <w:sz w:val="28"/>
          <w:szCs w:val="28"/>
        </w:rPr>
      </w:pPr>
      <w:r>
        <w:rPr>
          <w:rFonts w:ascii="宋体" w:hAnsi="宋体" w:eastAsia="宋体" w:cs="宋体"/>
          <w:kern w:val="0"/>
          <w:szCs w:val="21"/>
        </w:rPr>
        <w:t> </w:t>
      </w:r>
      <w:r>
        <w:rPr>
          <w:rFonts w:ascii="宋体" w:hAnsi="宋体" w:eastAsia="宋体" w:cs="宋体"/>
          <w:kern w:val="0"/>
          <w:szCs w:val="21"/>
        </w:rPr>
        <w:br w:type="textWrapping"/>
      </w:r>
      <w:r>
        <w:rPr>
          <w:rStyle w:val="9"/>
          <w:rFonts w:ascii="宋体" w:hAnsi="宋体" w:eastAsia="宋体" w:cs="宋体"/>
          <w:kern w:val="0"/>
          <w:sz w:val="28"/>
          <w:szCs w:val="28"/>
        </w:rPr>
        <w:t>第一部分:部门基本情况</w:t>
      </w:r>
      <w:r>
        <w:rPr>
          <w:rStyle w:val="9"/>
          <w:rFonts w:ascii="宋体" w:hAnsi="宋体" w:eastAsia="宋体" w:cs="宋体"/>
          <w:kern w:val="0"/>
          <w:sz w:val="28"/>
          <w:szCs w:val="28"/>
        </w:rPr>
        <w:br w:type="textWrapping"/>
      </w:r>
      <w:r>
        <w:rPr>
          <w:rFonts w:ascii="宋体" w:hAnsi="宋体" w:eastAsia="宋体" w:cs="宋体"/>
          <w:kern w:val="0"/>
          <w:sz w:val="28"/>
          <w:szCs w:val="28"/>
        </w:rPr>
        <w:t> 一、部门主要职责</w:t>
      </w:r>
      <w:r>
        <w:rPr>
          <w:rFonts w:ascii="宋体" w:hAnsi="宋体" w:eastAsia="宋体" w:cs="宋体"/>
          <w:kern w:val="0"/>
          <w:sz w:val="28"/>
          <w:szCs w:val="28"/>
        </w:rPr>
        <w:br w:type="textWrapping"/>
      </w:r>
      <w:r>
        <w:rPr>
          <w:rFonts w:ascii="宋体" w:hAnsi="宋体" w:eastAsia="宋体" w:cs="宋体"/>
          <w:kern w:val="0"/>
          <w:sz w:val="28"/>
          <w:szCs w:val="28"/>
        </w:rPr>
        <w:t> 二、部门机构设置情况</w:t>
      </w:r>
      <w:r>
        <w:rPr>
          <w:rFonts w:ascii="宋体" w:hAnsi="宋体" w:eastAsia="宋体" w:cs="宋体"/>
          <w:kern w:val="0"/>
          <w:sz w:val="28"/>
          <w:szCs w:val="28"/>
        </w:rPr>
        <w:br w:type="textWrapping"/>
      </w:r>
      <w:r>
        <w:rPr>
          <w:rStyle w:val="9"/>
          <w:rFonts w:ascii="宋体" w:hAnsi="宋体" w:eastAsia="宋体" w:cs="宋体"/>
          <w:kern w:val="0"/>
          <w:sz w:val="28"/>
          <w:szCs w:val="28"/>
        </w:rPr>
        <w:t>第二部分: 部门2021年部门决算表</w:t>
      </w:r>
      <w:r>
        <w:rPr>
          <w:rStyle w:val="9"/>
          <w:rFonts w:ascii="宋体" w:hAnsi="宋体" w:eastAsia="宋体" w:cs="宋体"/>
          <w:kern w:val="0"/>
          <w:sz w:val="28"/>
          <w:szCs w:val="28"/>
        </w:rPr>
        <w:br w:type="textWrapping"/>
      </w:r>
      <w:r>
        <w:rPr>
          <w:rFonts w:ascii="宋体" w:hAnsi="宋体" w:eastAsia="宋体" w:cs="宋体"/>
          <w:kern w:val="0"/>
          <w:sz w:val="28"/>
          <w:szCs w:val="28"/>
        </w:rPr>
        <w:t>一、收入支出决算总表                    </w:t>
      </w:r>
      <w:r>
        <w:rPr>
          <w:rFonts w:ascii="宋体" w:hAnsi="宋体" w:eastAsia="宋体" w:cs="宋体"/>
          <w:kern w:val="0"/>
          <w:sz w:val="28"/>
          <w:szCs w:val="28"/>
        </w:rPr>
        <w:br w:type="textWrapping"/>
      </w:r>
      <w:r>
        <w:rPr>
          <w:rFonts w:ascii="宋体" w:hAnsi="宋体" w:eastAsia="宋体" w:cs="宋体"/>
          <w:kern w:val="0"/>
          <w:sz w:val="28"/>
          <w:szCs w:val="28"/>
        </w:rPr>
        <w:t>二、收入决算表                     </w:t>
      </w:r>
      <w:r>
        <w:rPr>
          <w:rFonts w:ascii="宋体" w:hAnsi="宋体" w:eastAsia="宋体" w:cs="宋体"/>
          <w:kern w:val="0"/>
          <w:sz w:val="28"/>
          <w:szCs w:val="28"/>
        </w:rPr>
        <w:br w:type="textWrapping"/>
      </w:r>
      <w:r>
        <w:rPr>
          <w:rFonts w:ascii="宋体" w:hAnsi="宋体" w:eastAsia="宋体" w:cs="宋体"/>
          <w:kern w:val="0"/>
          <w:sz w:val="28"/>
          <w:szCs w:val="28"/>
        </w:rPr>
        <w:t>三、支出决算表                     </w:t>
      </w:r>
      <w:r>
        <w:rPr>
          <w:rFonts w:ascii="宋体" w:hAnsi="宋体" w:eastAsia="宋体" w:cs="宋体"/>
          <w:kern w:val="0"/>
          <w:sz w:val="28"/>
          <w:szCs w:val="28"/>
        </w:rPr>
        <w:br w:type="textWrapping"/>
      </w:r>
      <w:r>
        <w:rPr>
          <w:rFonts w:ascii="宋体" w:hAnsi="宋体" w:eastAsia="宋体" w:cs="宋体"/>
          <w:kern w:val="0"/>
          <w:sz w:val="28"/>
          <w:szCs w:val="28"/>
        </w:rPr>
        <w:t>四、财政拨款收入支出决算总表       </w:t>
      </w:r>
      <w:r>
        <w:rPr>
          <w:rFonts w:ascii="宋体" w:hAnsi="宋体" w:eastAsia="宋体" w:cs="宋体"/>
          <w:kern w:val="0"/>
          <w:sz w:val="28"/>
          <w:szCs w:val="28"/>
        </w:rPr>
        <w:br w:type="textWrapping"/>
      </w:r>
      <w:r>
        <w:rPr>
          <w:rFonts w:ascii="宋体" w:hAnsi="宋体" w:eastAsia="宋体" w:cs="宋体"/>
          <w:kern w:val="0"/>
          <w:sz w:val="28"/>
          <w:szCs w:val="28"/>
        </w:rPr>
        <w:t>五、一般公共预算财政拨款支出决算表        </w:t>
      </w:r>
      <w:r>
        <w:rPr>
          <w:rFonts w:ascii="宋体" w:hAnsi="宋体" w:eastAsia="宋体" w:cs="宋体"/>
          <w:kern w:val="0"/>
          <w:sz w:val="28"/>
          <w:szCs w:val="28"/>
        </w:rPr>
        <w:br w:type="textWrapping"/>
      </w:r>
      <w:r>
        <w:rPr>
          <w:rFonts w:ascii="宋体" w:hAnsi="宋体" w:eastAsia="宋体" w:cs="宋体"/>
          <w:kern w:val="0"/>
          <w:sz w:val="28"/>
          <w:szCs w:val="28"/>
        </w:rPr>
        <w:t>六、一般公共预算财政拨款基本支出决算表  </w:t>
      </w:r>
      <w:r>
        <w:rPr>
          <w:rFonts w:ascii="宋体" w:hAnsi="宋体" w:eastAsia="宋体" w:cs="宋体"/>
          <w:kern w:val="0"/>
          <w:sz w:val="28"/>
          <w:szCs w:val="28"/>
        </w:rPr>
        <w:br w:type="textWrapping"/>
      </w:r>
      <w:r>
        <w:rPr>
          <w:rFonts w:ascii="宋体" w:hAnsi="宋体" w:eastAsia="宋体" w:cs="宋体"/>
          <w:kern w:val="0"/>
          <w:sz w:val="28"/>
          <w:szCs w:val="28"/>
        </w:rPr>
        <w:t>七、一般公共预算财政拨款“三公”经费支出决算表  </w:t>
      </w:r>
      <w:r>
        <w:rPr>
          <w:rFonts w:ascii="宋体" w:hAnsi="宋体" w:eastAsia="宋体" w:cs="宋体"/>
          <w:kern w:val="0"/>
          <w:sz w:val="28"/>
          <w:szCs w:val="28"/>
        </w:rPr>
        <w:br w:type="textWrapping"/>
      </w:r>
      <w:r>
        <w:rPr>
          <w:rFonts w:ascii="宋体" w:hAnsi="宋体" w:eastAsia="宋体" w:cs="宋体"/>
          <w:kern w:val="0"/>
          <w:sz w:val="28"/>
          <w:szCs w:val="28"/>
        </w:rPr>
        <w:t>八、政府性基金预算财政拨款收入支出决算表     </w:t>
      </w:r>
      <w:r>
        <w:rPr>
          <w:rFonts w:ascii="宋体" w:hAnsi="宋体" w:eastAsia="宋体" w:cs="宋体"/>
          <w:kern w:val="0"/>
          <w:sz w:val="28"/>
          <w:szCs w:val="28"/>
        </w:rPr>
        <w:br w:type="textWrapping"/>
      </w:r>
      <w:r>
        <w:rPr>
          <w:rFonts w:ascii="宋体" w:hAnsi="宋体" w:eastAsia="宋体" w:cs="宋体"/>
          <w:kern w:val="0"/>
          <w:sz w:val="28"/>
          <w:szCs w:val="28"/>
        </w:rPr>
        <w:t>九、国有资本经营预算财政拨款支出决算表</w:t>
      </w:r>
      <w:r>
        <w:rPr>
          <w:rFonts w:ascii="宋体" w:hAnsi="宋体" w:eastAsia="宋体" w:cs="宋体"/>
          <w:kern w:val="0"/>
          <w:sz w:val="28"/>
          <w:szCs w:val="28"/>
        </w:rPr>
        <w:br w:type="textWrapping"/>
      </w:r>
      <w:r>
        <w:rPr>
          <w:rStyle w:val="9"/>
          <w:rFonts w:ascii="宋体" w:hAnsi="宋体" w:eastAsia="宋体" w:cs="宋体"/>
          <w:kern w:val="0"/>
          <w:sz w:val="28"/>
          <w:szCs w:val="28"/>
        </w:rPr>
        <w:t>第三部分：部门2021年部门决算情况说明</w:t>
      </w:r>
      <w:r>
        <w:rPr>
          <w:rFonts w:ascii="宋体" w:hAnsi="宋体" w:eastAsia="宋体" w:cs="宋体"/>
          <w:kern w:val="0"/>
          <w:szCs w:val="21"/>
        </w:rPr>
        <w:br w:type="textWrapping"/>
      </w:r>
      <w:r>
        <w:rPr>
          <w:rFonts w:ascii="宋体" w:hAnsi="宋体" w:eastAsia="宋体" w:cs="宋体"/>
          <w:kern w:val="0"/>
          <w:sz w:val="28"/>
          <w:szCs w:val="28"/>
        </w:rPr>
        <w:t>一、收支总体情况说明</w:t>
      </w:r>
      <w:r>
        <w:rPr>
          <w:rFonts w:ascii="宋体" w:hAnsi="宋体" w:eastAsia="宋体" w:cs="宋体"/>
          <w:kern w:val="0"/>
          <w:sz w:val="28"/>
          <w:szCs w:val="28"/>
        </w:rPr>
        <w:br w:type="textWrapping"/>
      </w:r>
      <w:r>
        <w:rPr>
          <w:rFonts w:ascii="宋体" w:hAnsi="宋体" w:eastAsia="宋体" w:cs="宋体"/>
          <w:kern w:val="0"/>
          <w:sz w:val="28"/>
          <w:szCs w:val="28"/>
        </w:rPr>
        <w:t>二、决算收入</w:t>
      </w:r>
      <w:r>
        <w:rPr>
          <w:rFonts w:hint="eastAsia" w:ascii="宋体" w:hAnsi="宋体" w:eastAsia="宋体" w:cs="宋体"/>
          <w:kern w:val="0"/>
          <w:sz w:val="28"/>
          <w:szCs w:val="28"/>
        </w:rPr>
        <w:t>支出</w:t>
      </w:r>
      <w:r>
        <w:rPr>
          <w:rFonts w:ascii="宋体" w:hAnsi="宋体" w:eastAsia="宋体" w:cs="宋体"/>
          <w:kern w:val="0"/>
          <w:sz w:val="28"/>
          <w:szCs w:val="28"/>
        </w:rPr>
        <w:t>增减变化情况说明</w:t>
      </w:r>
      <w:r>
        <w:rPr>
          <w:rFonts w:ascii="宋体" w:hAnsi="宋体" w:eastAsia="宋体" w:cs="宋体"/>
          <w:kern w:val="0"/>
          <w:sz w:val="28"/>
          <w:szCs w:val="28"/>
        </w:rPr>
        <w:br w:type="textWrapping"/>
      </w:r>
      <w:r>
        <w:rPr>
          <w:rFonts w:ascii="宋体" w:hAnsi="宋体" w:eastAsia="宋体" w:cs="宋体"/>
          <w:kern w:val="0"/>
          <w:sz w:val="28"/>
          <w:szCs w:val="28"/>
        </w:rPr>
        <w:t>三、财政拨款收入支出决算情况说明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四</w:t>
      </w:r>
      <w:r>
        <w:rPr>
          <w:rFonts w:ascii="宋体" w:hAnsi="宋体" w:eastAsia="宋体" w:cs="宋体"/>
          <w:kern w:val="0"/>
          <w:sz w:val="28"/>
          <w:szCs w:val="28"/>
        </w:rPr>
        <w:t>、一般公共预算财政拨款支出决算情况说明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五</w:t>
      </w:r>
      <w:r>
        <w:rPr>
          <w:rFonts w:ascii="宋体" w:hAnsi="宋体" w:eastAsia="宋体" w:cs="宋体"/>
          <w:kern w:val="0"/>
          <w:sz w:val="28"/>
          <w:szCs w:val="28"/>
        </w:rPr>
        <w:t>、一般公共预算财政拨款基本支出决算情况说明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六</w:t>
      </w:r>
      <w:r>
        <w:rPr>
          <w:rFonts w:ascii="宋体" w:hAnsi="宋体" w:eastAsia="宋体" w:cs="宋体"/>
          <w:kern w:val="0"/>
          <w:sz w:val="28"/>
          <w:szCs w:val="28"/>
        </w:rPr>
        <w:t>、一般公共预算财政拨款“三公”经费支出决算情况说明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七</w:t>
      </w:r>
      <w:r>
        <w:rPr>
          <w:rFonts w:ascii="宋体" w:hAnsi="宋体" w:eastAsia="宋体" w:cs="宋体"/>
          <w:kern w:val="0"/>
          <w:sz w:val="28"/>
          <w:szCs w:val="28"/>
        </w:rPr>
        <w:t>、机关运行费执行情况说明</w:t>
      </w:r>
      <w:r>
        <w:rPr>
          <w:rFonts w:ascii="宋体" w:hAnsi="宋体" w:eastAsia="宋体" w:cs="宋体"/>
          <w:kern w:val="0"/>
          <w:sz w:val="28"/>
          <w:szCs w:val="28"/>
        </w:rPr>
        <w:br w:type="textWrapping"/>
      </w:r>
      <w:r>
        <w:rPr>
          <w:rFonts w:hint="eastAsia" w:ascii="宋体" w:hAnsi="宋体" w:eastAsia="宋体" w:cs="宋体"/>
          <w:kern w:val="0"/>
          <w:sz w:val="28"/>
          <w:szCs w:val="28"/>
        </w:rPr>
        <w:t>八</w:t>
      </w:r>
      <w:r>
        <w:rPr>
          <w:rFonts w:ascii="宋体" w:hAnsi="宋体" w:eastAsia="宋体" w:cs="宋体"/>
          <w:kern w:val="0"/>
          <w:sz w:val="28"/>
          <w:szCs w:val="28"/>
        </w:rPr>
        <w:t>、政府采购支出情况说明</w:t>
      </w:r>
      <w:r>
        <w:rPr>
          <w:rFonts w:ascii="宋体" w:hAnsi="宋体" w:eastAsia="宋体" w:cs="宋体"/>
          <w:kern w:val="0"/>
          <w:sz w:val="28"/>
          <w:szCs w:val="28"/>
        </w:rPr>
        <w:br w:type="textWrapping"/>
      </w:r>
      <w:r>
        <w:rPr>
          <w:rFonts w:hint="eastAsia" w:ascii="宋体" w:hAnsi="宋体" w:eastAsia="宋体" w:cs="宋体"/>
          <w:kern w:val="0"/>
          <w:sz w:val="28"/>
          <w:szCs w:val="28"/>
        </w:rPr>
        <w:t>九</w:t>
      </w:r>
      <w:r>
        <w:rPr>
          <w:rFonts w:ascii="宋体" w:hAnsi="宋体" w:eastAsia="宋体" w:cs="宋体"/>
          <w:kern w:val="0"/>
          <w:sz w:val="28"/>
          <w:szCs w:val="28"/>
        </w:rPr>
        <w:t>、国有资产占用情况说明</w:t>
      </w:r>
      <w:r>
        <w:rPr>
          <w:rFonts w:ascii="宋体" w:hAnsi="宋体" w:eastAsia="宋体" w:cs="宋体"/>
          <w:kern w:val="0"/>
          <w:sz w:val="28"/>
          <w:szCs w:val="28"/>
        </w:rPr>
        <w:br w:type="textWrapping"/>
      </w:r>
      <w:r>
        <w:rPr>
          <w:rFonts w:ascii="宋体" w:hAnsi="宋体" w:eastAsia="宋体" w:cs="宋体"/>
          <w:kern w:val="0"/>
          <w:sz w:val="28"/>
          <w:szCs w:val="28"/>
        </w:rPr>
        <w:t>十、其他情况</w:t>
      </w:r>
      <w:r>
        <w:rPr>
          <w:rFonts w:ascii="宋体" w:hAnsi="宋体" w:eastAsia="宋体" w:cs="宋体"/>
          <w:kern w:val="0"/>
          <w:sz w:val="28"/>
          <w:szCs w:val="28"/>
        </w:rPr>
        <w:br w:type="textWrapping"/>
      </w:r>
      <w:r>
        <w:rPr>
          <w:rFonts w:ascii="宋体" w:hAnsi="宋体" w:eastAsia="宋体" w:cs="宋体"/>
          <w:kern w:val="0"/>
          <w:sz w:val="28"/>
          <w:szCs w:val="28"/>
        </w:rPr>
        <w:t>十</w:t>
      </w:r>
      <w:r>
        <w:rPr>
          <w:rFonts w:hint="eastAsia" w:ascii="宋体" w:hAnsi="宋体" w:eastAsia="宋体" w:cs="宋体"/>
          <w:kern w:val="0"/>
          <w:sz w:val="28"/>
          <w:szCs w:val="28"/>
        </w:rPr>
        <w:t>一</w:t>
      </w:r>
      <w:r>
        <w:rPr>
          <w:rFonts w:ascii="宋体" w:hAnsi="宋体" w:eastAsia="宋体" w:cs="宋体"/>
          <w:kern w:val="0"/>
          <w:sz w:val="28"/>
          <w:szCs w:val="28"/>
        </w:rPr>
        <w:t>、预算绩效情况说明</w:t>
      </w:r>
      <w:r>
        <w:rPr>
          <w:rFonts w:ascii="宋体" w:hAnsi="宋体" w:eastAsia="宋体" w:cs="宋体"/>
          <w:kern w:val="0"/>
          <w:sz w:val="28"/>
          <w:szCs w:val="28"/>
        </w:rPr>
        <w:br w:type="textWrapping"/>
      </w:r>
      <w:r>
        <w:rPr>
          <w:rStyle w:val="9"/>
          <w:rFonts w:ascii="宋体" w:hAnsi="宋体" w:eastAsia="宋体" w:cs="宋体"/>
          <w:kern w:val="0"/>
          <w:sz w:val="28"/>
          <w:szCs w:val="28"/>
        </w:rPr>
        <w:t>第四部分、名词解释</w:t>
      </w:r>
    </w:p>
    <w:p>
      <w:pPr>
        <w:widowControl/>
        <w:spacing w:line="420" w:lineRule="atLeast"/>
        <w:jc w:val="center"/>
        <w:rPr>
          <w:rFonts w:ascii="宋体" w:hAnsi="宋体" w:eastAsia="宋体" w:cs="宋体"/>
          <w:b/>
          <w:bCs/>
          <w:kern w:val="0"/>
          <w:sz w:val="30"/>
          <w:szCs w:val="30"/>
        </w:rPr>
      </w:pPr>
    </w:p>
    <w:p>
      <w:pPr>
        <w:widowControl/>
        <w:spacing w:line="420" w:lineRule="atLeast"/>
        <w:jc w:val="center"/>
        <w:rPr>
          <w:rFonts w:ascii="宋体" w:hAnsi="宋体" w:eastAsia="宋体" w:cs="宋体"/>
          <w:b/>
          <w:bCs/>
          <w:kern w:val="0"/>
          <w:sz w:val="30"/>
          <w:szCs w:val="30"/>
        </w:rPr>
      </w:pPr>
    </w:p>
    <w:p>
      <w:pPr>
        <w:widowControl/>
        <w:spacing w:line="420" w:lineRule="atLeast"/>
        <w:jc w:val="center"/>
        <w:rPr>
          <w:szCs w:val="21"/>
        </w:rPr>
      </w:pPr>
      <w:r>
        <w:rPr>
          <w:rFonts w:ascii="宋体" w:hAnsi="宋体" w:eastAsia="宋体" w:cs="宋体"/>
          <w:b/>
          <w:bCs/>
          <w:kern w:val="0"/>
          <w:sz w:val="30"/>
          <w:szCs w:val="30"/>
        </w:rPr>
        <w:t>黄石市下陆区招商服务中心2021年度部门决算</w:t>
      </w:r>
    </w:p>
    <w:p>
      <w:pPr>
        <w:keepNext w:val="0"/>
        <w:keepLines w:val="0"/>
        <w:widowControl/>
        <w:suppressLineNumbers w:val="0"/>
        <w:jc w:val="left"/>
      </w:pPr>
      <w:r>
        <w:rPr>
          <w:rFonts w:ascii="宋体" w:hAnsi="宋体" w:eastAsia="宋体" w:cs="宋体"/>
          <w:kern w:val="0"/>
          <w:szCs w:val="21"/>
        </w:rPr>
        <w:t> </w:t>
      </w:r>
      <w:r>
        <w:rPr>
          <w:rStyle w:val="9"/>
          <w:rFonts w:ascii="宋体" w:hAnsi="宋体" w:eastAsia="宋体" w:cs="宋体"/>
          <w:kern w:val="0"/>
          <w:sz w:val="28"/>
          <w:szCs w:val="28"/>
        </w:rPr>
        <w:br w:type="textWrapping"/>
      </w:r>
      <w:r>
        <w:rPr>
          <w:rStyle w:val="9"/>
          <w:rFonts w:ascii="宋体" w:hAnsi="宋体" w:eastAsia="宋体" w:cs="宋体"/>
          <w:kern w:val="0"/>
          <w:sz w:val="28"/>
          <w:szCs w:val="28"/>
        </w:rPr>
        <w:t>第一部分:部门基本情况</w:t>
      </w:r>
      <w:r>
        <w:rPr>
          <w:rStyle w:val="9"/>
          <w:rFonts w:ascii="宋体" w:hAnsi="宋体" w:eastAsia="宋体" w:cs="宋体"/>
          <w:kern w:val="0"/>
          <w:sz w:val="28"/>
          <w:szCs w:val="28"/>
        </w:rPr>
        <w:br w:type="textWrapping"/>
      </w:r>
      <w:r>
        <w:rPr>
          <w:rFonts w:ascii="宋体" w:hAnsi="宋体" w:eastAsia="宋体" w:cs="宋体"/>
          <w:kern w:val="0"/>
          <w:sz w:val="28"/>
          <w:szCs w:val="28"/>
        </w:rPr>
        <w:t>一、部门主要职责</w:t>
      </w:r>
      <w:r>
        <w:rPr>
          <w:rFonts w:ascii="宋体" w:hAnsi="宋体" w:eastAsia="宋体" w:cs="宋体"/>
          <w:kern w:val="0"/>
          <w:sz w:val="28"/>
          <w:szCs w:val="28"/>
        </w:rPr>
        <w:br w:type="textWrapping"/>
      </w:r>
      <w:r>
        <w:rPr>
          <w:rFonts w:ascii="宋体" w:hAnsi="宋体" w:eastAsia="宋体" w:cs="宋体"/>
          <w:kern w:val="0"/>
          <w:sz w:val="28"/>
          <w:szCs w:val="28"/>
        </w:rPr>
        <w:t>（一）负责招商引资相关政策的宣传推介，承担上级下达的各项招商引资任务。</w:t>
      </w:r>
      <w:r>
        <w:rPr>
          <w:rFonts w:ascii="宋体" w:hAnsi="宋体" w:eastAsia="宋体" w:cs="宋体"/>
          <w:kern w:val="0"/>
          <w:sz w:val="28"/>
          <w:szCs w:val="28"/>
        </w:rPr>
        <w:br w:type="textWrapping"/>
      </w:r>
      <w:r>
        <w:rPr>
          <w:rFonts w:ascii="宋体" w:hAnsi="宋体" w:eastAsia="宋体" w:cs="宋体"/>
          <w:kern w:val="0"/>
          <w:sz w:val="28"/>
          <w:szCs w:val="28"/>
        </w:rPr>
        <w:t>（二）负责全区招商项目的信息收集与发布、全区招商载体资源的整合与协调，承担全区重要招商项目的商务邀约、商务洽谈、对接联络、跟踪服务等招商引资相关工作。</w:t>
      </w:r>
      <w:r>
        <w:rPr>
          <w:rFonts w:ascii="宋体" w:hAnsi="宋体" w:eastAsia="宋体" w:cs="宋体"/>
          <w:kern w:val="0"/>
          <w:sz w:val="28"/>
          <w:szCs w:val="28"/>
        </w:rPr>
        <w:br w:type="textWrapping"/>
      </w:r>
      <w:r>
        <w:rPr>
          <w:rFonts w:ascii="宋体" w:hAnsi="宋体" w:eastAsia="宋体" w:cs="宋体"/>
          <w:kern w:val="0"/>
          <w:sz w:val="28"/>
          <w:szCs w:val="28"/>
        </w:rPr>
        <w:t>（三）负责全区招商资源信息管理和运用，梳理和完善全区资源信息库，收集并发布招商信息，对招商信息实行网络共享、协调互通。</w:t>
      </w:r>
      <w:r>
        <w:rPr>
          <w:rFonts w:ascii="宋体" w:hAnsi="宋体" w:eastAsia="宋体" w:cs="宋体"/>
          <w:kern w:val="0"/>
          <w:sz w:val="28"/>
          <w:szCs w:val="28"/>
        </w:rPr>
        <w:br w:type="textWrapping"/>
      </w:r>
      <w:r>
        <w:rPr>
          <w:rFonts w:ascii="宋体" w:hAnsi="宋体" w:eastAsia="宋体" w:cs="宋体"/>
          <w:kern w:val="0"/>
          <w:sz w:val="28"/>
          <w:szCs w:val="28"/>
        </w:rPr>
        <w:t>（四）负责全区重点招商项目的策划、宣传和推介工作。</w:t>
      </w:r>
      <w:r>
        <w:rPr>
          <w:rFonts w:ascii="宋体" w:hAnsi="宋体" w:eastAsia="宋体" w:cs="宋体"/>
          <w:kern w:val="0"/>
          <w:sz w:val="28"/>
          <w:szCs w:val="28"/>
        </w:rPr>
        <w:br w:type="textWrapping"/>
      </w:r>
      <w:r>
        <w:rPr>
          <w:rFonts w:ascii="宋体" w:hAnsi="宋体" w:eastAsia="宋体" w:cs="宋体"/>
          <w:kern w:val="0"/>
          <w:sz w:val="28"/>
          <w:szCs w:val="28"/>
        </w:rPr>
        <w:t>（五）负责全面完成上级布置的各项招商引资目标任务。</w:t>
      </w:r>
      <w:r>
        <w:rPr>
          <w:rFonts w:ascii="宋体" w:hAnsi="宋体" w:eastAsia="宋体" w:cs="宋体"/>
          <w:kern w:val="0"/>
          <w:sz w:val="28"/>
          <w:szCs w:val="28"/>
        </w:rPr>
        <w:br w:type="textWrapping"/>
      </w:r>
      <w:r>
        <w:rPr>
          <w:rFonts w:ascii="宋体" w:hAnsi="宋体" w:eastAsia="宋体" w:cs="宋体"/>
          <w:kern w:val="0"/>
          <w:sz w:val="28"/>
          <w:szCs w:val="28"/>
        </w:rPr>
        <w:t>（六）负责招商引资项目的落户受理认定及协调各项招商引资优惠政策的落实，配合有关单位或部门对投资项目所投诉的问题进行协调处理。</w:t>
      </w:r>
      <w:r>
        <w:rPr>
          <w:rFonts w:ascii="宋体" w:hAnsi="宋体" w:eastAsia="宋体" w:cs="宋体"/>
          <w:kern w:val="0"/>
          <w:sz w:val="28"/>
          <w:szCs w:val="28"/>
        </w:rPr>
        <w:br w:type="textWrapping"/>
      </w:r>
      <w:r>
        <w:rPr>
          <w:rFonts w:ascii="宋体" w:hAnsi="宋体" w:eastAsia="宋体" w:cs="宋体"/>
          <w:kern w:val="0"/>
          <w:sz w:val="28"/>
          <w:szCs w:val="28"/>
        </w:rPr>
        <w:t>（七）完成上级交办的其它任务。</w:t>
      </w:r>
      <w:r>
        <w:rPr>
          <w:rFonts w:ascii="宋体" w:hAnsi="宋体" w:eastAsia="宋体" w:cs="宋体"/>
          <w:kern w:val="0"/>
          <w:sz w:val="28"/>
          <w:szCs w:val="28"/>
        </w:rPr>
        <w:br w:type="textWrapping"/>
      </w:r>
      <w:r>
        <w:rPr>
          <w:rFonts w:ascii="宋体" w:hAnsi="宋体" w:eastAsia="宋体" w:cs="宋体"/>
          <w:kern w:val="0"/>
          <w:sz w:val="28"/>
          <w:szCs w:val="28"/>
        </w:rPr>
        <w:t>二、部门机构设置情况</w:t>
      </w:r>
      <w:r>
        <w:rPr>
          <w:rFonts w:ascii="宋体" w:hAnsi="宋体" w:eastAsia="宋体" w:cs="宋体"/>
          <w:kern w:val="0"/>
          <w:sz w:val="28"/>
          <w:szCs w:val="28"/>
        </w:rPr>
        <w:br w:type="textWrapping"/>
      </w:r>
      <w:r>
        <w:rPr>
          <w:rFonts w:ascii="宋体" w:hAnsi="宋体" w:eastAsia="宋体" w:cs="宋体"/>
          <w:kern w:val="0"/>
          <w:sz w:val="28"/>
          <w:szCs w:val="28"/>
        </w:rPr>
        <w:t>1、机构设置情况：下陆区招商服务中心只归属管理本级单位。</w:t>
      </w:r>
      <w:r>
        <w:rPr>
          <w:rFonts w:hint="eastAsia" w:ascii="宋体" w:hAnsi="宋体" w:eastAsia="宋体" w:cs="宋体"/>
          <w:kern w:val="0"/>
          <w:sz w:val="28"/>
          <w:szCs w:val="28"/>
        </w:rPr>
        <w:t>本单位</w:t>
      </w:r>
      <w:r>
        <w:rPr>
          <w:rFonts w:ascii="宋体" w:hAnsi="宋体" w:eastAsia="宋体" w:cs="宋体"/>
          <w:kern w:val="0"/>
          <w:sz w:val="28"/>
          <w:szCs w:val="28"/>
        </w:rPr>
        <w:t>内</w:t>
      </w:r>
      <w:r>
        <w:rPr>
          <w:rFonts w:hint="eastAsia" w:ascii="宋体" w:hAnsi="宋体" w:eastAsia="宋体" w:cs="宋体"/>
          <w:kern w:val="0"/>
          <w:sz w:val="28"/>
          <w:szCs w:val="28"/>
        </w:rPr>
        <w:t>设置</w:t>
      </w:r>
      <w:r>
        <w:rPr>
          <w:rFonts w:ascii="宋体" w:hAnsi="宋体" w:eastAsia="宋体" w:cs="宋体"/>
          <w:kern w:val="0"/>
          <w:sz w:val="28"/>
          <w:szCs w:val="28"/>
        </w:rPr>
        <w:t>办公室</w:t>
      </w:r>
      <w:r>
        <w:rPr>
          <w:rFonts w:hint="eastAsia" w:ascii="宋体" w:hAnsi="宋体" w:eastAsia="宋体" w:cs="宋体"/>
          <w:kern w:val="0"/>
          <w:sz w:val="28"/>
          <w:szCs w:val="28"/>
        </w:rPr>
        <w:t>、综合科、</w:t>
      </w:r>
      <w:r>
        <w:rPr>
          <w:rFonts w:ascii="宋体" w:hAnsi="宋体" w:eastAsia="宋体" w:cs="宋体"/>
          <w:kern w:val="0"/>
          <w:sz w:val="28"/>
          <w:szCs w:val="28"/>
        </w:rPr>
        <w:t>财务室</w:t>
      </w:r>
      <w:r>
        <w:rPr>
          <w:rFonts w:hint="eastAsia" w:ascii="宋体" w:hAnsi="宋体" w:eastAsia="宋体" w:cs="宋体"/>
          <w:kern w:val="0"/>
          <w:sz w:val="28"/>
          <w:szCs w:val="28"/>
        </w:rPr>
        <w:t>等内设科室</w:t>
      </w:r>
      <w:r>
        <w:rPr>
          <w:rFonts w:ascii="宋体" w:hAnsi="宋体" w:eastAsia="宋体" w:cs="宋体"/>
          <w:kern w:val="0"/>
          <w:sz w:val="28"/>
          <w:szCs w:val="28"/>
        </w:rPr>
        <w:t>。</w:t>
      </w:r>
      <w:r>
        <w:rPr>
          <w:rFonts w:ascii="宋体" w:hAnsi="宋体" w:eastAsia="宋体" w:cs="宋体"/>
          <w:kern w:val="0"/>
          <w:sz w:val="28"/>
          <w:szCs w:val="28"/>
        </w:rPr>
        <w:br w:type="textWrapping"/>
      </w:r>
      <w:r>
        <w:rPr>
          <w:rFonts w:ascii="宋体" w:hAnsi="宋体" w:eastAsia="宋体" w:cs="宋体"/>
          <w:kern w:val="0"/>
          <w:sz w:val="28"/>
          <w:szCs w:val="28"/>
        </w:rPr>
        <w:t>2、编制情况：下陆区招商服务中心核定编制数为8名，其中行政编0名，事业编制8名。2021年年末在职在编人员8人，区聘5人，退伍安置0人，退休人员2人（已全部转入机关事业单位养老保险发放养老金）。</w:t>
      </w:r>
      <w:r>
        <w:rPr>
          <w:rFonts w:ascii="宋体" w:hAnsi="宋体" w:eastAsia="宋体" w:cs="宋体"/>
          <w:kern w:val="0"/>
          <w:sz w:val="28"/>
          <w:szCs w:val="28"/>
        </w:rPr>
        <w:br w:type="textWrapping"/>
      </w:r>
      <w:r>
        <w:rPr>
          <w:rStyle w:val="9"/>
          <w:rFonts w:hint="eastAsia" w:ascii="宋体" w:hAnsi="宋体" w:eastAsia="宋体" w:cs="宋体"/>
          <w:kern w:val="0"/>
          <w:sz w:val="28"/>
          <w:szCs w:val="28"/>
        </w:rPr>
        <w:t>第二部分: 部门2021年部门决算表</w:t>
      </w:r>
      <w:r>
        <w:rPr>
          <w:rStyle w:val="9"/>
          <w:rFonts w:ascii="宋体" w:hAnsi="宋体" w:eastAsia="宋体" w:cs="宋体"/>
          <w:kern w:val="0"/>
          <w:szCs w:val="21"/>
        </w:rPr>
        <w:br w:type="textWrapping"/>
      </w:r>
      <w:r>
        <w:rPr>
          <w:rFonts w:ascii="宋体" w:hAnsi="宋体" w:eastAsia="宋体" w:cs="宋体"/>
          <w:kern w:val="0"/>
          <w:sz w:val="24"/>
          <w:szCs w:val="24"/>
          <w:lang w:val="en-US" w:eastAsia="zh-CN" w:bidi="ar"/>
        </w:rPr>
        <w:drawing>
          <wp:inline distT="0" distB="0" distL="114300" distR="114300">
            <wp:extent cx="5760085" cy="6228080"/>
            <wp:effectExtent l="0" t="0" r="12065" b="127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760085" cy="6228080"/>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447925"/>
            <wp:effectExtent l="0" t="0" r="12065"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5760085" cy="244792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793365"/>
            <wp:effectExtent l="0" t="0" r="12065" b="698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5760085" cy="279336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475605"/>
            <wp:effectExtent l="0" t="0" r="12065" b="1079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5760085" cy="547560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703830"/>
            <wp:effectExtent l="0" t="0" r="12065" b="1270"/>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5760085" cy="2703830"/>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316095"/>
            <wp:effectExtent l="0" t="0" r="12065" b="8255"/>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5760085" cy="431609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572895"/>
            <wp:effectExtent l="0" t="0" r="12065" b="8255"/>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0"/>
                    <a:stretch>
                      <a:fillRect/>
                    </a:stretch>
                  </pic:blipFill>
                  <pic:spPr>
                    <a:xfrm>
                      <a:off x="0" y="0"/>
                      <a:ext cx="5760085" cy="157289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767840"/>
            <wp:effectExtent l="0" t="0" r="12065" b="3810"/>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1"/>
                    <a:stretch>
                      <a:fillRect/>
                    </a:stretch>
                  </pic:blipFill>
                  <pic:spPr>
                    <a:xfrm>
                      <a:off x="0" y="0"/>
                      <a:ext cx="5760085" cy="1767840"/>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62150"/>
            <wp:effectExtent l="0" t="0" r="12065" b="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pPr>
        <w:rPr>
          <w:rFonts w:hint="eastAsia" w:ascii="宋体" w:hAnsi="宋体" w:eastAsia="宋体" w:cs="宋体"/>
          <w:kern w:val="0"/>
          <w:sz w:val="28"/>
          <w:szCs w:val="28"/>
        </w:rPr>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Cs w:val="21"/>
        </w:rPr>
        <w:br w:type="textWrapping"/>
      </w:r>
      <w:r>
        <w:rPr>
          <w:rStyle w:val="9"/>
          <w:rFonts w:hint="eastAsia" w:ascii="宋体" w:hAnsi="宋体" w:eastAsia="宋体" w:cs="宋体"/>
          <w:kern w:val="0"/>
          <w:sz w:val="28"/>
          <w:szCs w:val="28"/>
        </w:rPr>
        <w:t>第三部分：部门2021年部门决算情况说明</w:t>
      </w:r>
      <w:r>
        <w:rPr>
          <w:rStyle w:val="9"/>
          <w:rFonts w:hint="eastAsia" w:ascii="宋体" w:hAnsi="宋体" w:eastAsia="宋体" w:cs="宋体"/>
          <w:kern w:val="0"/>
          <w:sz w:val="28"/>
          <w:szCs w:val="28"/>
        </w:rPr>
        <w:br w:type="textWrapping"/>
      </w:r>
      <w:r>
        <w:rPr>
          <w:rStyle w:val="9"/>
          <w:rFonts w:hint="eastAsia" w:ascii="宋体" w:hAnsi="宋体" w:eastAsia="宋体" w:cs="宋体"/>
          <w:kern w:val="0"/>
          <w:sz w:val="28"/>
          <w:szCs w:val="28"/>
        </w:rPr>
        <w:t>一、收支总体情况说明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下陆区招商服务中心2021年度决算总收入合计881.17万元，其中：财政拨款收入851.48万元，占总收入的</w:t>
      </w:r>
      <w:r>
        <w:rPr>
          <w:rFonts w:hint="eastAsia" w:ascii="宋体" w:hAnsi="宋体" w:eastAsia="宋体" w:cs="宋体"/>
          <w:kern w:val="0"/>
          <w:sz w:val="28"/>
          <w:szCs w:val="28"/>
        </w:rPr>
        <w:t>96.63</w:t>
      </w:r>
      <w:r>
        <w:rPr>
          <w:rFonts w:ascii="宋体" w:hAnsi="宋体" w:eastAsia="宋体" w:cs="宋体"/>
          <w:kern w:val="0"/>
          <w:sz w:val="28"/>
          <w:szCs w:val="28"/>
        </w:rPr>
        <w:t>%；其他收入29.69万元</w:t>
      </w:r>
      <w:r>
        <w:rPr>
          <w:rFonts w:hint="eastAsia" w:ascii="宋体" w:hAnsi="宋体" w:eastAsia="宋体" w:cs="宋体"/>
          <w:kern w:val="0"/>
          <w:sz w:val="28"/>
          <w:szCs w:val="28"/>
        </w:rPr>
        <w:t>，</w:t>
      </w:r>
      <w:r>
        <w:rPr>
          <w:rFonts w:ascii="宋体" w:hAnsi="宋体" w:eastAsia="宋体" w:cs="宋体"/>
          <w:kern w:val="0"/>
          <w:sz w:val="28"/>
          <w:szCs w:val="28"/>
        </w:rPr>
        <w:t>占总收入的</w:t>
      </w:r>
      <w:r>
        <w:rPr>
          <w:rFonts w:hint="eastAsia" w:ascii="宋体" w:hAnsi="宋体" w:eastAsia="宋体" w:cs="宋体"/>
          <w:kern w:val="0"/>
          <w:sz w:val="28"/>
          <w:szCs w:val="28"/>
        </w:rPr>
        <w:t>3.37</w:t>
      </w:r>
      <w:r>
        <w:rPr>
          <w:rFonts w:ascii="宋体" w:hAnsi="宋体" w:eastAsia="宋体" w:cs="宋体"/>
          <w:kern w:val="0"/>
          <w:sz w:val="28"/>
          <w:szCs w:val="28"/>
        </w:rPr>
        <w:t>%。</w:t>
      </w:r>
    </w:p>
    <w:p>
      <w:pPr>
        <w:ind w:firstLine="560" w:firstLineChars="200"/>
        <w:rPr>
          <w:rStyle w:val="9"/>
          <w:rFonts w:hint="eastAsia" w:ascii="宋体" w:hAnsi="宋体" w:eastAsia="宋体" w:cs="宋体"/>
          <w:kern w:val="0"/>
          <w:sz w:val="28"/>
          <w:szCs w:val="28"/>
        </w:rPr>
      </w:pPr>
      <w:r>
        <w:rPr>
          <w:rFonts w:ascii="宋体" w:hAnsi="宋体" w:eastAsia="宋体" w:cs="宋体"/>
          <w:kern w:val="0"/>
          <w:sz w:val="28"/>
          <w:szCs w:val="28"/>
        </w:rPr>
        <w:t>下陆区招商服务中心2021年度支出882.42万元，其中：基本支出176.22万元，占总支出的</w:t>
      </w:r>
      <w:r>
        <w:rPr>
          <w:rFonts w:hint="eastAsia" w:ascii="宋体" w:hAnsi="宋体" w:eastAsia="宋体" w:cs="宋体"/>
          <w:kern w:val="0"/>
          <w:sz w:val="28"/>
          <w:szCs w:val="28"/>
        </w:rPr>
        <w:t>19.97</w:t>
      </w:r>
      <w:r>
        <w:rPr>
          <w:rFonts w:ascii="宋体" w:hAnsi="宋体" w:eastAsia="宋体" w:cs="宋体"/>
          <w:kern w:val="0"/>
          <w:sz w:val="28"/>
          <w:szCs w:val="28"/>
        </w:rPr>
        <w:t>%</w:t>
      </w:r>
      <w:r>
        <w:rPr>
          <w:rFonts w:hint="eastAsia" w:ascii="宋体" w:hAnsi="宋体" w:eastAsia="宋体" w:cs="宋体"/>
          <w:kern w:val="0"/>
          <w:sz w:val="28"/>
          <w:szCs w:val="28"/>
        </w:rPr>
        <w:t>；</w:t>
      </w:r>
      <w:r>
        <w:rPr>
          <w:rFonts w:ascii="宋体" w:hAnsi="宋体" w:eastAsia="宋体" w:cs="宋体"/>
          <w:kern w:val="0"/>
          <w:sz w:val="28"/>
          <w:szCs w:val="28"/>
        </w:rPr>
        <w:t>项目支出706.19元</w:t>
      </w:r>
      <w:r>
        <w:rPr>
          <w:rFonts w:hint="eastAsia" w:ascii="宋体" w:hAnsi="宋体" w:eastAsia="宋体" w:cs="宋体"/>
          <w:kern w:val="0"/>
          <w:sz w:val="28"/>
          <w:szCs w:val="28"/>
        </w:rPr>
        <w:t>，</w:t>
      </w:r>
      <w:r>
        <w:rPr>
          <w:rFonts w:ascii="宋体" w:hAnsi="宋体" w:eastAsia="宋体" w:cs="宋体"/>
          <w:kern w:val="0"/>
          <w:sz w:val="28"/>
          <w:szCs w:val="28"/>
        </w:rPr>
        <w:t>占总支出的</w:t>
      </w:r>
      <w:r>
        <w:rPr>
          <w:rFonts w:hint="eastAsia" w:ascii="宋体" w:hAnsi="宋体" w:eastAsia="宋体" w:cs="宋体"/>
          <w:kern w:val="0"/>
          <w:sz w:val="28"/>
          <w:szCs w:val="28"/>
        </w:rPr>
        <w:t>80.03</w:t>
      </w:r>
      <w:r>
        <w:rPr>
          <w:rFonts w:ascii="宋体" w:hAnsi="宋体" w:eastAsia="宋体" w:cs="宋体"/>
          <w:kern w:val="0"/>
          <w:sz w:val="28"/>
          <w:szCs w:val="28"/>
        </w:rPr>
        <w:t>%。</w:t>
      </w:r>
    </w:p>
    <w:p>
      <w:pPr>
        <w:rPr>
          <w:rFonts w:ascii="宋体" w:hAnsi="宋体" w:eastAsia="宋体" w:cs="宋体"/>
          <w:kern w:val="0"/>
          <w:sz w:val="28"/>
          <w:szCs w:val="28"/>
        </w:rPr>
      </w:pPr>
      <w:r>
        <w:rPr>
          <w:rStyle w:val="9"/>
          <w:rFonts w:hint="eastAsia" w:ascii="宋体" w:hAnsi="宋体" w:eastAsia="宋体" w:cs="宋体"/>
          <w:kern w:val="0"/>
          <w:sz w:val="28"/>
          <w:szCs w:val="28"/>
        </w:rPr>
        <w:t>二、2021年度决算收入支出增减变化情况</w:t>
      </w:r>
      <w:r>
        <w:rPr>
          <w:rStyle w:val="9"/>
          <w:rFonts w:hint="eastAsia" w:ascii="宋体" w:hAnsi="宋体" w:eastAsia="宋体" w:cs="宋体"/>
          <w:kern w:val="0"/>
          <w:sz w:val="28"/>
          <w:szCs w:val="28"/>
        </w:rPr>
        <w:br w:type="textWrapping"/>
      </w:r>
      <w:r>
        <w:rPr>
          <w:rStyle w:val="9"/>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下陆区招商服务中心2021年度决算收入合计881.17万元，</w:t>
      </w:r>
      <w:r>
        <w:rPr>
          <w:rFonts w:hint="eastAsia" w:ascii="宋体" w:hAnsi="宋体" w:eastAsia="宋体" w:cs="宋体"/>
          <w:kern w:val="0"/>
          <w:sz w:val="28"/>
          <w:szCs w:val="28"/>
        </w:rPr>
        <w:t>与</w:t>
      </w:r>
      <w:r>
        <w:rPr>
          <w:rFonts w:ascii="宋体" w:hAnsi="宋体" w:eastAsia="宋体" w:cs="宋体"/>
          <w:kern w:val="0"/>
          <w:sz w:val="28"/>
          <w:szCs w:val="28"/>
        </w:rPr>
        <w:t>上年决算数</w:t>
      </w:r>
      <w:r>
        <w:rPr>
          <w:rFonts w:hint="eastAsia" w:ascii="宋体" w:hAnsi="宋体" w:eastAsia="宋体" w:cs="宋体"/>
          <w:kern w:val="0"/>
          <w:sz w:val="28"/>
          <w:szCs w:val="28"/>
        </w:rPr>
        <w:t>223.08万元相</w:t>
      </w:r>
      <w:r>
        <w:rPr>
          <w:rFonts w:ascii="宋体" w:hAnsi="宋体" w:eastAsia="宋体" w:cs="宋体"/>
          <w:kern w:val="0"/>
          <w:sz w:val="28"/>
          <w:szCs w:val="28"/>
        </w:rPr>
        <w:t>比，增加</w:t>
      </w:r>
      <w:r>
        <w:rPr>
          <w:rFonts w:hint="eastAsia" w:ascii="宋体" w:hAnsi="宋体" w:eastAsia="宋体" w:cs="宋体"/>
          <w:kern w:val="0"/>
          <w:sz w:val="28"/>
          <w:szCs w:val="28"/>
        </w:rPr>
        <w:t>658.09</w:t>
      </w:r>
      <w:r>
        <w:rPr>
          <w:rFonts w:ascii="宋体" w:hAnsi="宋体" w:eastAsia="宋体" w:cs="宋体"/>
          <w:kern w:val="0"/>
          <w:sz w:val="28"/>
          <w:szCs w:val="28"/>
        </w:rPr>
        <w:t>万元，主要原因是：今年增加对企业扶持发展补贴资金。</w:t>
      </w:r>
      <w:r>
        <w:rPr>
          <w:rFonts w:hint="eastAsia" w:ascii="宋体" w:hAnsi="宋体" w:eastAsia="宋体" w:cs="宋体"/>
          <w:kern w:val="0"/>
          <w:sz w:val="28"/>
          <w:szCs w:val="28"/>
        </w:rPr>
        <w:t>与</w:t>
      </w:r>
      <w:r>
        <w:rPr>
          <w:rFonts w:ascii="宋体" w:hAnsi="宋体" w:eastAsia="宋体" w:cs="宋体"/>
          <w:kern w:val="0"/>
          <w:sz w:val="28"/>
          <w:szCs w:val="28"/>
        </w:rPr>
        <w:t>年初预算</w:t>
      </w:r>
      <w:r>
        <w:rPr>
          <w:rFonts w:hint="eastAsia" w:ascii="宋体" w:hAnsi="宋体" w:eastAsia="宋体" w:cs="宋体"/>
          <w:kern w:val="0"/>
          <w:sz w:val="28"/>
          <w:szCs w:val="28"/>
        </w:rPr>
        <w:t>246.14相</w:t>
      </w:r>
      <w:r>
        <w:rPr>
          <w:rFonts w:ascii="宋体" w:hAnsi="宋体" w:eastAsia="宋体" w:cs="宋体"/>
          <w:kern w:val="0"/>
          <w:sz w:val="28"/>
          <w:szCs w:val="28"/>
        </w:rPr>
        <w:t>比，增加</w:t>
      </w:r>
      <w:r>
        <w:rPr>
          <w:rFonts w:hint="eastAsia" w:ascii="宋体" w:hAnsi="宋体" w:eastAsia="宋体" w:cs="宋体"/>
          <w:kern w:val="0"/>
          <w:sz w:val="28"/>
          <w:szCs w:val="28"/>
        </w:rPr>
        <w:t>635.03</w:t>
      </w:r>
      <w:r>
        <w:rPr>
          <w:rFonts w:ascii="宋体" w:hAnsi="宋体" w:eastAsia="宋体" w:cs="宋体"/>
          <w:kern w:val="0"/>
          <w:sz w:val="28"/>
          <w:szCs w:val="28"/>
        </w:rPr>
        <w:t>万元，主要原因是：今年增加对企业扶持发展补贴资金。</w:t>
      </w:r>
    </w:p>
    <w:p>
      <w:pPr>
        <w:ind w:firstLine="560" w:firstLineChars="200"/>
        <w:rPr>
          <w:rFonts w:hint="eastAsia" w:ascii="宋体" w:hAnsi="宋体" w:eastAsia="宋体" w:cs="宋体"/>
          <w:kern w:val="0"/>
          <w:sz w:val="28"/>
          <w:szCs w:val="28"/>
        </w:rPr>
      </w:pPr>
      <w:r>
        <w:rPr>
          <w:rFonts w:ascii="宋体" w:hAnsi="宋体" w:eastAsia="宋体" w:cs="宋体"/>
          <w:kern w:val="0"/>
          <w:sz w:val="28"/>
          <w:szCs w:val="28"/>
        </w:rPr>
        <w:t>本单位2021年度支出882.42万元，</w:t>
      </w:r>
      <w:r>
        <w:rPr>
          <w:rFonts w:hint="eastAsia" w:ascii="宋体" w:hAnsi="宋体" w:eastAsia="宋体" w:cs="宋体"/>
          <w:kern w:val="0"/>
          <w:sz w:val="28"/>
          <w:szCs w:val="28"/>
        </w:rPr>
        <w:t>与</w:t>
      </w:r>
      <w:r>
        <w:rPr>
          <w:rFonts w:ascii="宋体" w:hAnsi="宋体" w:eastAsia="宋体" w:cs="宋体"/>
          <w:kern w:val="0"/>
          <w:sz w:val="28"/>
          <w:szCs w:val="28"/>
        </w:rPr>
        <w:t>上年决算数</w:t>
      </w:r>
      <w:r>
        <w:rPr>
          <w:rFonts w:hint="eastAsia" w:ascii="宋体" w:hAnsi="宋体" w:eastAsia="宋体" w:cs="宋体"/>
          <w:kern w:val="0"/>
          <w:sz w:val="28"/>
          <w:szCs w:val="28"/>
        </w:rPr>
        <w:t>164.76相</w:t>
      </w:r>
      <w:r>
        <w:rPr>
          <w:rFonts w:ascii="宋体" w:hAnsi="宋体" w:eastAsia="宋体" w:cs="宋体"/>
          <w:kern w:val="0"/>
          <w:sz w:val="28"/>
          <w:szCs w:val="28"/>
        </w:rPr>
        <w:t>比，增加</w:t>
      </w:r>
      <w:r>
        <w:rPr>
          <w:rFonts w:hint="eastAsia" w:ascii="宋体" w:hAnsi="宋体" w:eastAsia="宋体" w:cs="宋体"/>
          <w:kern w:val="0"/>
          <w:sz w:val="28"/>
          <w:szCs w:val="28"/>
        </w:rPr>
        <w:t>717.66</w:t>
      </w:r>
      <w:r>
        <w:rPr>
          <w:rFonts w:ascii="宋体" w:hAnsi="宋体" w:eastAsia="宋体" w:cs="宋体"/>
          <w:kern w:val="0"/>
          <w:sz w:val="28"/>
          <w:szCs w:val="28"/>
        </w:rPr>
        <w:t>万元，主要原因是：今年增加对企业扶持发展补贴资金。</w:t>
      </w:r>
      <w:r>
        <w:rPr>
          <w:rFonts w:hint="eastAsia" w:ascii="宋体" w:hAnsi="宋体" w:eastAsia="宋体" w:cs="宋体"/>
          <w:kern w:val="0"/>
          <w:sz w:val="28"/>
          <w:szCs w:val="28"/>
        </w:rPr>
        <w:t>与</w:t>
      </w:r>
      <w:r>
        <w:rPr>
          <w:rFonts w:ascii="宋体" w:hAnsi="宋体" w:eastAsia="宋体" w:cs="宋体"/>
          <w:kern w:val="0"/>
          <w:sz w:val="28"/>
          <w:szCs w:val="28"/>
        </w:rPr>
        <w:t>年初预算</w:t>
      </w:r>
      <w:r>
        <w:rPr>
          <w:rFonts w:hint="eastAsia" w:ascii="宋体" w:hAnsi="宋体" w:eastAsia="宋体" w:cs="宋体"/>
          <w:kern w:val="0"/>
          <w:sz w:val="28"/>
          <w:szCs w:val="28"/>
        </w:rPr>
        <w:t>246.14相</w:t>
      </w:r>
      <w:r>
        <w:rPr>
          <w:rFonts w:ascii="宋体" w:hAnsi="宋体" w:eastAsia="宋体" w:cs="宋体"/>
          <w:kern w:val="0"/>
          <w:sz w:val="28"/>
          <w:szCs w:val="28"/>
        </w:rPr>
        <w:t>比，增加</w:t>
      </w:r>
      <w:r>
        <w:rPr>
          <w:rFonts w:hint="eastAsia" w:ascii="宋体" w:hAnsi="宋体" w:eastAsia="宋体" w:cs="宋体"/>
          <w:kern w:val="0"/>
          <w:sz w:val="28"/>
          <w:szCs w:val="28"/>
        </w:rPr>
        <w:t>636.28</w:t>
      </w:r>
      <w:r>
        <w:rPr>
          <w:rFonts w:ascii="宋体" w:hAnsi="宋体" w:eastAsia="宋体" w:cs="宋体"/>
          <w:kern w:val="0"/>
          <w:sz w:val="28"/>
          <w:szCs w:val="28"/>
        </w:rPr>
        <w:t>万元，主要原因是：今年增加对企业扶持发展补贴资金</w:t>
      </w:r>
    </w:p>
    <w:p>
      <w:pPr>
        <w:rPr>
          <w:rFonts w:ascii="宋体" w:hAnsi="宋体" w:eastAsia="宋体" w:cs="宋体"/>
          <w:kern w:val="0"/>
          <w:sz w:val="28"/>
          <w:szCs w:val="28"/>
        </w:rPr>
      </w:pPr>
      <w:r>
        <w:rPr>
          <w:rStyle w:val="9"/>
          <w:rFonts w:hint="eastAsia" w:ascii="宋体" w:hAnsi="宋体" w:eastAsia="宋体" w:cs="宋体"/>
          <w:kern w:val="0"/>
          <w:sz w:val="28"/>
          <w:szCs w:val="28"/>
        </w:rPr>
        <w:t>三、2021年财政拨款收入支出决算情况说明</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 xml:space="preserve">   下</w:t>
      </w:r>
      <w:r>
        <w:rPr>
          <w:rFonts w:ascii="宋体" w:hAnsi="宋体" w:eastAsia="宋体" w:cs="宋体"/>
          <w:kern w:val="0"/>
          <w:sz w:val="28"/>
          <w:szCs w:val="28"/>
        </w:rPr>
        <w:t>陆区招商服务中心2021年财政拨款收入总计851.48万元，</w:t>
      </w:r>
      <w:r>
        <w:rPr>
          <w:rFonts w:hint="eastAsia" w:ascii="宋体" w:hAnsi="宋体" w:eastAsia="宋体" w:cs="宋体"/>
          <w:kern w:val="0"/>
          <w:sz w:val="28"/>
          <w:szCs w:val="28"/>
        </w:rPr>
        <w:t>年初结转结余0万元，其中：一般公共预算拨款</w:t>
      </w:r>
      <w:r>
        <w:rPr>
          <w:rFonts w:ascii="宋体" w:hAnsi="宋体" w:eastAsia="宋体" w:cs="宋体"/>
          <w:kern w:val="0"/>
          <w:sz w:val="28"/>
          <w:szCs w:val="28"/>
        </w:rPr>
        <w:t>851.48万元，</w:t>
      </w:r>
      <w:r>
        <w:rPr>
          <w:rFonts w:hint="eastAsia" w:ascii="宋体" w:hAnsi="宋体" w:eastAsia="宋体" w:cs="宋体"/>
          <w:kern w:val="0"/>
          <w:sz w:val="28"/>
          <w:szCs w:val="28"/>
        </w:rPr>
        <w:t>年初结转结余0万元；</w:t>
      </w:r>
    </w:p>
    <w:p>
      <w:pPr>
        <w:ind w:firstLine="560" w:firstLineChars="200"/>
        <w:rPr>
          <w:rFonts w:hint="eastAsia" w:ascii="宋体" w:hAnsi="宋体" w:eastAsia="宋体" w:cs="宋体"/>
          <w:kern w:val="0"/>
          <w:sz w:val="28"/>
          <w:szCs w:val="28"/>
          <w:lang w:val="en-US" w:eastAsia="zh-CN"/>
        </w:rPr>
      </w:pPr>
      <w:r>
        <w:rPr>
          <w:rFonts w:ascii="宋体" w:hAnsi="宋体" w:eastAsia="宋体" w:cs="宋体"/>
          <w:kern w:val="0"/>
          <w:sz w:val="28"/>
          <w:szCs w:val="28"/>
          <w:highlight w:val="none"/>
        </w:rPr>
        <w:t>2021年财政拨款支出总计</w:t>
      </w:r>
      <w:r>
        <w:rPr>
          <w:rFonts w:hint="eastAsia" w:ascii="宋体" w:hAnsi="宋体" w:eastAsia="宋体" w:cs="宋体"/>
          <w:kern w:val="0"/>
          <w:sz w:val="28"/>
          <w:szCs w:val="28"/>
          <w:highlight w:val="none"/>
        </w:rPr>
        <w:t>851.48</w:t>
      </w:r>
      <w:r>
        <w:rPr>
          <w:rFonts w:ascii="宋体" w:hAnsi="宋体" w:eastAsia="宋体" w:cs="宋体"/>
          <w:kern w:val="0"/>
          <w:sz w:val="28"/>
          <w:szCs w:val="28"/>
          <w:highlight w:val="none"/>
        </w:rPr>
        <w:t>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246.14</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相比增加605.34万元，原因是</w:t>
      </w:r>
      <w:r>
        <w:rPr>
          <w:rFonts w:ascii="宋体" w:hAnsi="宋体" w:eastAsia="宋体" w:cs="宋体"/>
          <w:kern w:val="0"/>
          <w:sz w:val="28"/>
          <w:szCs w:val="28"/>
          <w:highlight w:val="none"/>
        </w:rPr>
        <w:t>今年增加对企业扶持发展补贴资金</w:t>
      </w:r>
      <w:r>
        <w:rPr>
          <w:rFonts w:hint="eastAsia" w:ascii="宋体" w:hAnsi="宋体" w:eastAsia="宋体" w:cs="宋体"/>
          <w:color w:val="000000"/>
          <w:kern w:val="0"/>
          <w:sz w:val="28"/>
          <w:szCs w:val="28"/>
          <w:highlight w:val="none"/>
          <w:lang w:val="en-US" w:eastAsia="zh-CN"/>
        </w:rPr>
        <w:t>，与上年决算数160.46万元相比增加691.02万元，原因是</w:t>
      </w:r>
      <w:r>
        <w:rPr>
          <w:rFonts w:ascii="宋体" w:hAnsi="宋体" w:eastAsia="宋体" w:cs="宋体"/>
          <w:kern w:val="0"/>
          <w:sz w:val="28"/>
          <w:szCs w:val="28"/>
          <w:highlight w:val="none"/>
        </w:rPr>
        <w:t>今年增加对企业扶持发展补贴资金</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kern w:val="0"/>
          <w:sz w:val="28"/>
          <w:szCs w:val="28"/>
          <w:highlight w:val="none"/>
        </w:rPr>
        <w:t>按支出性质分类：基本支出145.29万元，项目支出706.19万元。年末财政拨款结转和结余0万元。其中：一般公共预算拨款851.48万元，年末财政拨款结转和结余0万元。</w:t>
      </w:r>
      <w:r>
        <w:rPr>
          <w:rFonts w:ascii="宋体" w:hAnsi="宋体" w:eastAsia="宋体" w:cs="宋体"/>
          <w:kern w:val="0"/>
          <w:sz w:val="28"/>
          <w:szCs w:val="28"/>
          <w:highlight w:val="none"/>
        </w:rPr>
        <w:br w:type="textWrapping"/>
      </w:r>
      <w:r>
        <w:rPr>
          <w:rStyle w:val="9"/>
          <w:rFonts w:hint="eastAsia" w:ascii="宋体" w:hAnsi="宋体" w:eastAsia="宋体" w:cs="宋体"/>
          <w:kern w:val="0"/>
          <w:sz w:val="28"/>
          <w:szCs w:val="28"/>
        </w:rPr>
        <w:t>四、2021年一般公共预算财政拨款支出决算情况说明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下陆区招商服务中心2021年一般公共预算财政拨款支出</w:t>
      </w:r>
      <w:r>
        <w:rPr>
          <w:rFonts w:hint="eastAsia" w:ascii="宋体" w:hAnsi="宋体" w:eastAsia="宋体" w:cs="宋体"/>
          <w:kern w:val="0"/>
          <w:sz w:val="28"/>
          <w:szCs w:val="28"/>
        </w:rPr>
        <w:t>决算数851.48万元，</w:t>
      </w:r>
      <w:r>
        <w:rPr>
          <w:rFonts w:ascii="宋体" w:hAnsi="宋体" w:eastAsia="宋体" w:cs="宋体"/>
          <w:kern w:val="0"/>
          <w:sz w:val="28"/>
          <w:szCs w:val="28"/>
        </w:rPr>
        <w:t>年初预算数为246.14万元，</w:t>
      </w:r>
      <w:r>
        <w:rPr>
          <w:rFonts w:hint="eastAsia" w:ascii="宋体" w:hAnsi="宋体" w:eastAsia="宋体" w:cs="宋体"/>
          <w:kern w:val="0"/>
          <w:sz w:val="28"/>
          <w:szCs w:val="28"/>
        </w:rPr>
        <w:t>相比增加605.34</w:t>
      </w:r>
      <w:r>
        <w:rPr>
          <w:rFonts w:ascii="宋体" w:hAnsi="宋体" w:eastAsia="宋体" w:cs="宋体"/>
          <w:kern w:val="0"/>
          <w:sz w:val="28"/>
          <w:szCs w:val="28"/>
        </w:rPr>
        <w:t>万元，</w:t>
      </w:r>
      <w:r>
        <w:rPr>
          <w:rFonts w:hint="eastAsia" w:ascii="宋体" w:hAnsi="宋体" w:eastAsia="宋体" w:cs="宋体"/>
          <w:kern w:val="0"/>
          <w:sz w:val="28"/>
          <w:szCs w:val="28"/>
        </w:rPr>
        <w:t>其中：</w:t>
      </w:r>
      <w:r>
        <w:rPr>
          <w:rFonts w:ascii="宋体" w:hAnsi="宋体" w:eastAsia="宋体" w:cs="宋体"/>
          <w:kern w:val="0"/>
          <w:sz w:val="28"/>
          <w:szCs w:val="28"/>
        </w:rPr>
        <w:t>一般公共预算财政拨款</w:t>
      </w:r>
      <w:r>
        <w:rPr>
          <w:rFonts w:hint="eastAsia" w:ascii="宋体" w:hAnsi="宋体" w:eastAsia="宋体" w:cs="宋体"/>
          <w:kern w:val="0"/>
          <w:sz w:val="28"/>
          <w:szCs w:val="28"/>
        </w:rPr>
        <w:t>增加605.34万元</w:t>
      </w:r>
      <w:r>
        <w:rPr>
          <w:rFonts w:ascii="宋体" w:hAnsi="宋体" w:eastAsia="宋体" w:cs="宋体"/>
          <w:kern w:val="0"/>
          <w:sz w:val="28"/>
          <w:szCs w:val="28"/>
        </w:rPr>
        <w:t>。</w:t>
      </w:r>
      <w:r>
        <w:rPr>
          <w:rFonts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按支出功能分类，一般公共服务支出决算为316万元，较上年增加155.54万元，增幅96.93%；科学技术支出535.48万元，较上年增加535.48万元，增幅100%。</w:t>
      </w:r>
      <w:r>
        <w:rPr>
          <w:rFonts w:ascii="宋体" w:hAnsi="宋体" w:eastAsia="宋体" w:cs="宋体"/>
          <w:kern w:val="0"/>
          <w:sz w:val="28"/>
          <w:szCs w:val="28"/>
        </w:rPr>
        <w:br w:type="textWrapping"/>
      </w:r>
      <w:r>
        <w:rPr>
          <w:rStyle w:val="9"/>
          <w:rFonts w:hint="eastAsia" w:ascii="宋体" w:hAnsi="宋体" w:eastAsia="宋体" w:cs="宋体"/>
          <w:kern w:val="0"/>
          <w:sz w:val="28"/>
          <w:szCs w:val="28"/>
        </w:rPr>
        <w:t>五、2021年一般公共预算财政拨款基本支出决算情况说明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一般公共预算财政拨款基本支出145.29万元，较上年增加72.45万元，增幅99.46%。是由于今年单位人员增加5人，对应经费增加。其中，人员经费支出122.83万元，较上年增加52.82万元，涨幅75.45%。人员经费主要包括：基本工资、津贴补贴、奖金、社会保险缴费、离退休费、医疗费、住房公积金、职业年金、机关事业单位养老保险等支出；日常公用经费支出6.29万元，较上年增加3.46万元，增幅122.26%。日常公用经费主要包括：办公费、印刷费、水费、电费、邮电费、物业管理费、差旅费、维修（护）费、租赁费、会议费、培训费、公务接待费、劳务费、工会经费、福利费、其他交通费、其他商品和服务支出、办公设备购置等。</w:t>
      </w:r>
      <w:r>
        <w:rPr>
          <w:rFonts w:ascii="宋体" w:hAnsi="宋体" w:eastAsia="宋体" w:cs="宋体"/>
          <w:kern w:val="0"/>
          <w:sz w:val="28"/>
          <w:szCs w:val="28"/>
        </w:rPr>
        <w:br w:type="textWrapping"/>
      </w:r>
      <w:r>
        <w:rPr>
          <w:rStyle w:val="9"/>
          <w:rFonts w:hint="eastAsia" w:ascii="宋体" w:hAnsi="宋体" w:eastAsia="宋体" w:cs="宋体"/>
          <w:kern w:val="0"/>
          <w:sz w:val="28"/>
          <w:szCs w:val="28"/>
        </w:rPr>
        <w:t>六、一般公共预算财政拨款“三公”经费支出决算情况说明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2021年度“三公”经费支出决算数为11.01万元，与2020年支出决算数14.76万元</w:t>
      </w:r>
      <w:r>
        <w:rPr>
          <w:rFonts w:hint="eastAsia" w:ascii="宋体" w:hAnsi="宋体" w:eastAsia="宋体" w:cs="宋体"/>
          <w:kern w:val="0"/>
          <w:sz w:val="28"/>
          <w:szCs w:val="28"/>
          <w:lang w:eastAsia="zh-CN"/>
        </w:rPr>
        <w:t>相比</w:t>
      </w:r>
      <w:r>
        <w:rPr>
          <w:rFonts w:ascii="宋体" w:hAnsi="宋体" w:eastAsia="宋体" w:cs="宋体"/>
          <w:kern w:val="0"/>
          <w:sz w:val="28"/>
          <w:szCs w:val="28"/>
        </w:rPr>
        <w:t>减少3.75万元，主要是受疫情影响，招商项目经费减少。</w:t>
      </w:r>
      <w:r>
        <w:rPr>
          <w:rFonts w:hint="eastAsia" w:ascii="宋体" w:hAnsi="宋体" w:eastAsia="宋体" w:cs="宋体"/>
          <w:kern w:val="0"/>
          <w:sz w:val="28"/>
          <w:szCs w:val="28"/>
          <w:lang w:eastAsia="zh-CN"/>
        </w:rPr>
        <w:t>同时</w:t>
      </w:r>
      <w:r>
        <w:rPr>
          <w:rFonts w:ascii="宋体" w:hAnsi="宋体" w:eastAsia="宋体" w:cs="宋体"/>
          <w:kern w:val="0"/>
          <w:sz w:val="28"/>
          <w:szCs w:val="28"/>
        </w:rPr>
        <w:t>单位在大力招商的同时，节约费用开支，减少了招待次数。与2021年预算金额20.24万元相比减少9.23万元，主要是单位节约开支。</w:t>
      </w:r>
      <w:r>
        <w:rPr>
          <w:rFonts w:ascii="宋体" w:hAnsi="宋体" w:eastAsia="宋体" w:cs="宋体"/>
          <w:kern w:val="0"/>
          <w:sz w:val="28"/>
          <w:szCs w:val="28"/>
          <w:highlight w:val="none"/>
        </w:rPr>
        <w:t>其中:</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（1）</w:t>
      </w:r>
      <w:r>
        <w:rPr>
          <w:rFonts w:hint="eastAsia" w:ascii="宋体" w:hAnsi="宋体" w:eastAsia="宋体" w:cs="宋体"/>
          <w:color w:val="000000"/>
          <w:kern w:val="0"/>
          <w:sz w:val="28"/>
          <w:szCs w:val="28"/>
          <w:highlight w:val="none"/>
          <w:lang w:val="en-US" w:eastAsia="zh-CN"/>
        </w:rPr>
        <w:t>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11.01</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51</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761</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与2021年预算数20.24万元相比减少9.23万元，原因是单位认真贯彻落实中央八项规定精神和厉行节约要求，从严控制公务接待</w:t>
      </w:r>
      <w:bookmarkStart w:id="0" w:name="_GoBack"/>
      <w:bookmarkEnd w:id="0"/>
      <w:r>
        <w:rPr>
          <w:rFonts w:hint="eastAsia" w:ascii="宋体" w:hAnsi="宋体" w:eastAsia="宋体" w:cs="宋体"/>
          <w:color w:val="000000"/>
          <w:kern w:val="0"/>
          <w:sz w:val="28"/>
          <w:szCs w:val="28"/>
          <w:highlight w:val="none"/>
          <w:lang w:val="en-US" w:eastAsia="zh-CN"/>
        </w:rPr>
        <w:t>经费支出，</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14.76</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减少</w:t>
      </w:r>
      <w:r>
        <w:rPr>
          <w:rFonts w:ascii="宋体" w:hAnsi="宋体" w:eastAsia="宋体" w:cs="宋体"/>
          <w:kern w:val="0"/>
          <w:sz w:val="28"/>
          <w:szCs w:val="28"/>
          <w:highlight w:val="none"/>
        </w:rPr>
        <w:t>3.75万元，主要是单位严格执行相关规定，节约开支。</w:t>
      </w:r>
      <w:r>
        <w:rPr>
          <w:rFonts w:ascii="宋体" w:hAnsi="宋体" w:eastAsia="宋体" w:cs="宋体"/>
          <w:kern w:val="0"/>
          <w:sz w:val="28"/>
          <w:szCs w:val="28"/>
          <w:highlight w:val="none"/>
        </w:rPr>
        <w:br w:type="textWrapping"/>
      </w:r>
      <w:r>
        <w:rPr>
          <w:rStyle w:val="9"/>
          <w:rFonts w:hint="eastAsia" w:ascii="宋体" w:hAnsi="宋体" w:eastAsia="宋体" w:cs="宋体"/>
          <w:kern w:val="0"/>
          <w:sz w:val="28"/>
          <w:szCs w:val="28"/>
        </w:rPr>
        <w:t>七、机关运行经费执行情况说明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机关运行经费6.29万元，与年初预算数7.97万元相比减少1.68万元。主要是去年将公务交通补贴纳入人员经费。与2020年决算数相比增加3.46万元，主要是单位人数增加5人对应工会经费、福利费及日常办公经费增加。机关运行经费主要用于办公费1.23万元，电费0.6万元，邮电费0.3万元，维修（护）费0.05万元，劳务费0.06万元，委托业务费0.26万元，工会经费2.94万元，福利费0.16万元，其他交通费0.11万元，其他商品和服务支出0.58万元。</w:t>
      </w:r>
      <w:r>
        <w:rPr>
          <w:rFonts w:hint="eastAsia" w:ascii="宋体" w:hAnsi="宋体" w:eastAsia="宋体" w:cs="宋体"/>
          <w:kern w:val="0"/>
          <w:sz w:val="28"/>
          <w:szCs w:val="28"/>
          <w:lang w:val="en-US" w:eastAsia="zh-CN"/>
        </w:rPr>
        <w:br w:type="textWrapping"/>
      </w:r>
      <w:r>
        <w:rPr>
          <w:rStyle w:val="9"/>
          <w:rFonts w:hint="eastAsia" w:ascii="宋体" w:hAnsi="宋体" w:eastAsia="宋体" w:cs="宋体"/>
          <w:kern w:val="0"/>
          <w:sz w:val="28"/>
          <w:szCs w:val="28"/>
        </w:rPr>
        <w:t>八、政府采购执行情况说明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2021年度我单位政府采购预算计划金额0.8万元，其中一般公共预算0.8万元，其他资金0万元；主要用于购买货物0.8万元，工程0万元，服务0万元。授予中小企业合同金额 0.8万元，占政府采购支出总额的 100%，其中：授予小微企业合同金额0.8万元，占政府采购支出总额的 100%。</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xml:space="preserve">     2021年度我单位政府实际采购金额0.09万元，其中一般公共预算0.09万元，其他资金0万元；主要用于购买货物0.09万元，工程0万元，服务0万元。授予中小企业合同金额 0.09万元，占政府采购支出总额的 100%，其中：授予小微企业合同金额0.09万元，占政府采购支出总额的 100%。</w:t>
      </w: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政府采购支出总额0.09万元比2020年度17.9万元减少17.81万元，降幅99.5%，主要原因:今年办公设备购置费用减少。</w:t>
      </w:r>
      <w:r>
        <w:rPr>
          <w:rFonts w:hint="eastAsia" w:ascii="宋体" w:hAnsi="宋体" w:eastAsia="宋体" w:cs="宋体"/>
          <w:kern w:val="0"/>
          <w:sz w:val="28"/>
          <w:szCs w:val="28"/>
          <w:lang w:val="en-US" w:eastAsia="zh-CN"/>
        </w:rPr>
        <w:br w:type="textWrapping"/>
      </w:r>
      <w:r>
        <w:rPr>
          <w:rStyle w:val="9"/>
          <w:rFonts w:hint="eastAsia" w:ascii="宋体" w:hAnsi="宋体" w:eastAsia="宋体" w:cs="宋体"/>
          <w:kern w:val="0"/>
          <w:sz w:val="28"/>
          <w:szCs w:val="28"/>
        </w:rPr>
        <w:t>九</w:t>
      </w:r>
      <w:r>
        <w:rPr>
          <w:rStyle w:val="9"/>
          <w:rFonts w:ascii="宋体" w:hAnsi="宋体" w:eastAsia="宋体" w:cs="宋体"/>
          <w:kern w:val="0"/>
          <w:sz w:val="28"/>
          <w:szCs w:val="28"/>
        </w:rPr>
        <w:t>、国有资产占用情况说明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2021年度我单位共占有车辆数0台，其中：一般公务用车0台，一般执法执勤车辆0台；单价50万元以上通用设备0台；单价100万元以上专用设备0台。其他固定资产（不包含房屋）6.43元。</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十、其他情况</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本单位2021年无举借政府债务、无扶贫专项资金、无政府性基金预算收支、无财政专项支出、无专项转移支付。</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十</w:t>
      </w:r>
      <w:r>
        <w:rPr>
          <w:rStyle w:val="9"/>
          <w:rFonts w:hint="eastAsia" w:ascii="宋体" w:hAnsi="宋体" w:eastAsia="宋体" w:cs="宋体"/>
          <w:kern w:val="0"/>
          <w:sz w:val="28"/>
          <w:szCs w:val="28"/>
        </w:rPr>
        <w:t>一</w:t>
      </w:r>
      <w:r>
        <w:rPr>
          <w:rStyle w:val="9"/>
          <w:rFonts w:ascii="宋体" w:hAnsi="宋体" w:eastAsia="宋体" w:cs="宋体"/>
          <w:kern w:val="0"/>
          <w:sz w:val="28"/>
          <w:szCs w:val="28"/>
        </w:rPr>
        <w:t>、预算绩效工作开展情况</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（一）预算绩效管理工作开展情况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根据预算绩效管理要求，我单位组织对2021年度一般公共预算项目支出全面开展绩效自评，共涉及项目1个，资金150万元，占一般公共预算项目支出总额的100％。从评价情况来看，下陆区招商服务中心整体支出项目已经结束，年度绩效目标已经全部完成。通过实施这个项目，办公室及时掌握时事政治信息及提升人文化素养，对下陆区招商信息筛查工作，结合我区具体实际，举办光谷跨境电商产业专题推介会并承办黄石（杭州）投资推介会吸引外商来我区投资。</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组织开展部门整体支出绩效评价，从评价情况来看，区招商中心抓住重点，细化方案，建档立库。针对项目设置项目实施方案，明确项目内容、申报条件和审批流程等。建立专门档案，完整反映计划执行的全过程，严格管理，加强监督检查。2021年，我单位对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p>
    <w:tbl>
      <w:tblPr>
        <w:tblStyle w:val="6"/>
        <w:tblW w:w="94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355"/>
        <w:gridCol w:w="2580"/>
        <w:gridCol w:w="735"/>
        <w:gridCol w:w="825"/>
        <w:gridCol w:w="615"/>
      </w:tblGrid>
      <w:tr>
        <w:tblPrEx>
          <w:shd w:val="clear" w:color="auto" w:fill="auto"/>
          <w:tblCellMar>
            <w:top w:w="0" w:type="dxa"/>
            <w:left w:w="0" w:type="dxa"/>
            <w:bottom w:w="0" w:type="dxa"/>
            <w:right w:w="0" w:type="dxa"/>
          </w:tblCellMar>
        </w:tblPrEx>
        <w:trPr>
          <w:trHeight w:val="559" w:hRule="atLeast"/>
        </w:trPr>
        <w:tc>
          <w:tcPr>
            <w:tcW w:w="9450"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2022.11.8</w:t>
            </w:r>
          </w:p>
        </w:tc>
      </w:tr>
      <w:tr>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77.15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87.61</w:t>
            </w:r>
          </w:p>
        </w:tc>
      </w:tr>
      <w:tr>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164.76</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220.42</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74.75%</w:t>
            </w: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实际完成值</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34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5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3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1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0.11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32.24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88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0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8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3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499" w:hRule="atLeast"/>
        </w:trPr>
        <w:tc>
          <w:tcPr>
            <w:tcW w:w="72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r>
    </w:tbl>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（二）部门决算中项目绩效自评结果</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我部门今年在部门决算中反映所有项目绩效自评结果。</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专项经费绩效自评综述：项目全年预算数为150万元，执行数为150万元，完成预算100％。</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主要产出和效益：鉴于疫情形势的好转及国内外市场的变化，结合目前正在征求意见的2021年市定招商指标任务数，一是关于项目招引方面，按与2020年市定指标同比增长10%来预计，即新签约项目17个、新注册项目13个、新开工项目11个、新投产项目9个；二是关于外资引进方面，按与2020年同比持平来预计，即新设外资企业2家，实际利用外资500万美元，实际到位内资45亿元（其中省外资金30亿元）。</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下一步改进措施：一是根据年初制定的资金主要支出方向，定期进行预算执行分析工作，通过预算执行分析及时的发现并解决问题，以更好的实施全面预算管理。</w:t>
      </w:r>
    </w:p>
    <w:tbl>
      <w:tblPr>
        <w:tblStyle w:val="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pPr>
              <w:widowControl/>
              <w:snapToGrid w:val="0"/>
              <w:jc w:val="center"/>
              <w:rPr>
                <w:rFonts w:ascii="仿宋_GB2312" w:hAnsi="宋体" w:eastAsia="仿宋_GB2312"/>
                <w:kern w:val="0"/>
              </w:rPr>
            </w:pPr>
            <w:r>
              <w:rPr>
                <w:rFonts w:ascii="宋体" w:hAnsi="宋体" w:eastAsia="宋体"/>
                <w:color w:val="000000"/>
              </w:rPr>
              <w:t>招商引资专项经费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下陆区招商服务中心</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pPr>
              <w:widowControl/>
              <w:snapToGrid w:val="0"/>
              <w:jc w:val="center"/>
              <w:rPr>
                <w:rFonts w:ascii="仿宋_GB2312" w:hAnsi="宋体" w:eastAsia="仿宋_GB2312"/>
                <w:kern w:val="0"/>
              </w:rPr>
            </w:pPr>
          </w:p>
        </w:tc>
        <w:tc>
          <w:tcPr>
            <w:tcW w:w="1505"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pPr>
              <w:widowControl/>
              <w:snapToGrid w:val="0"/>
              <w:jc w:val="center"/>
              <w:rPr>
                <w:rFonts w:ascii="仿宋_GB2312" w:hAnsi="宋体" w:eastAsia="仿宋_GB2312"/>
                <w:kern w:val="0"/>
              </w:rPr>
            </w:pPr>
          </w:p>
        </w:tc>
        <w:tc>
          <w:tcPr>
            <w:tcW w:w="1065"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150</w:t>
            </w:r>
          </w:p>
        </w:tc>
        <w:tc>
          <w:tcPr>
            <w:tcW w:w="1585"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150</w:t>
            </w:r>
          </w:p>
        </w:tc>
        <w:tc>
          <w:tcPr>
            <w:tcW w:w="1350"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044"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rPr>
                <w:rFonts w:ascii="仿宋_GB2312" w:hAnsi="宋体" w:eastAsia="仿宋_GB2312"/>
                <w:kern w:val="0"/>
              </w:rPr>
            </w:pPr>
          </w:p>
        </w:tc>
        <w:tc>
          <w:tcPr>
            <w:tcW w:w="690" w:type="dxa"/>
            <w:vMerge w:val="restart"/>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eastAsia="仿宋_GB2312" w:cs="Times New Roman"/>
                <w:color w:val="000000"/>
                <w:kern w:val="0"/>
                <w:szCs w:val="21"/>
                <w:lang w:val="en-US" w:eastAsia="zh-CN" w:bidi="ar"/>
              </w:rPr>
              <w:t>5</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eastAsia="仿宋_GB2312" w:cs="Times New Roman"/>
                <w:color w:val="000000"/>
                <w:kern w:val="0"/>
                <w:sz w:val="20"/>
                <w:szCs w:val="20"/>
                <w:lang w:val="en-US" w:eastAsia="zh-CN" w:bidi="ar"/>
              </w:rPr>
              <w:t>4</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pPr>
              <w:jc w:val="both"/>
              <w:textAlignment w:val="center"/>
              <w:rPr>
                <w:rFonts w:hint="eastAsia" w:ascii="宋体" w:hAnsi="宋体" w:eastAsia="宋体" w:cs="宋体"/>
                <w:kern w:val="0"/>
                <w:sz w:val="20"/>
                <w:szCs w:val="20"/>
                <w:lang w:eastAsia="zh-CN"/>
              </w:rPr>
            </w:pPr>
            <w:r>
              <w:rPr>
                <w:color w:val="000000"/>
                <w:sz w:val="20"/>
              </w:rPr>
              <w:t>新投产</w:t>
            </w:r>
            <w:r>
              <w:rPr>
                <w:rFonts w:hint="eastAsia"/>
                <w:color w:val="000000"/>
                <w:sz w:val="20"/>
                <w:lang w:eastAsia="zh-CN"/>
              </w:rPr>
              <w:t>企业</w:t>
            </w:r>
          </w:p>
        </w:tc>
        <w:tc>
          <w:tcPr>
            <w:tcW w:w="1350" w:type="dxa"/>
            <w:noWrap w:val="0"/>
            <w:vAlign w:val="center"/>
          </w:tcPr>
          <w:p>
            <w:pPr>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8个</w:t>
            </w:r>
          </w:p>
        </w:tc>
        <w:tc>
          <w:tcPr>
            <w:tcW w:w="1275" w:type="dxa"/>
            <w:gridSpan w:val="2"/>
            <w:noWrap w:val="0"/>
            <w:vAlign w:val="center"/>
          </w:tcPr>
          <w:p>
            <w:pPr>
              <w:jc w:val="center"/>
              <w:textAlignment w:val="center"/>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8</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rPr>
                <w:rFonts w:ascii="仿宋_GB2312" w:hAnsi="宋体" w:eastAsia="仿宋_GB2312"/>
                <w:kern w:val="0"/>
              </w:rPr>
            </w:pPr>
          </w:p>
        </w:tc>
        <w:tc>
          <w:tcPr>
            <w:tcW w:w="690" w:type="dxa"/>
            <w:vMerge w:val="continue"/>
            <w:noWrap w:val="0"/>
            <w:vAlign w:val="center"/>
          </w:tcPr>
          <w:p>
            <w:pPr>
              <w:jc w:val="center"/>
              <w:rPr>
                <w:rFonts w:ascii="仿宋_GB2312" w:hAnsi="宋体" w:eastAsia="仿宋_GB2312"/>
                <w:kern w:val="0"/>
              </w:rPr>
            </w:pPr>
          </w:p>
        </w:tc>
        <w:tc>
          <w:tcPr>
            <w:tcW w:w="1065" w:type="dxa"/>
            <w:vMerge w:val="continue"/>
            <w:noWrap w:val="0"/>
            <w:vAlign w:val="center"/>
          </w:tcPr>
          <w:p>
            <w:pPr>
              <w:jc w:val="center"/>
              <w:rPr>
                <w:rFonts w:ascii="仿宋_GB2312" w:hAnsi="宋体" w:eastAsia="仿宋_GB2312"/>
                <w:kern w:val="0"/>
                <w:sz w:val="20"/>
                <w:szCs w:val="20"/>
              </w:rPr>
            </w:pPr>
          </w:p>
        </w:tc>
        <w:tc>
          <w:tcPr>
            <w:tcW w:w="3090"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color w:val="000000"/>
                <w:sz w:val="20"/>
              </w:rPr>
              <w:t>引进重点产业项目</w:t>
            </w:r>
          </w:p>
        </w:tc>
        <w:tc>
          <w:tcPr>
            <w:tcW w:w="1350" w:type="dxa"/>
            <w:noWrap w:val="0"/>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22个</w:t>
            </w:r>
          </w:p>
        </w:tc>
        <w:tc>
          <w:tcPr>
            <w:tcW w:w="1275" w:type="dxa"/>
            <w:gridSpan w:val="2"/>
            <w:noWrap w:val="0"/>
            <w:vAlign w:val="center"/>
          </w:tcPr>
          <w:p>
            <w:pPr>
              <w:jc w:val="center"/>
              <w:textAlignment w:val="center"/>
              <w:rPr>
                <w:rFonts w:hint="default" w:ascii="仿宋" w:hAnsi="仿宋" w:eastAsia="仿宋" w:cs="仿宋"/>
                <w:color w:val="FF0000"/>
                <w:kern w:val="0"/>
                <w:sz w:val="20"/>
                <w:szCs w:val="20"/>
                <w:lang w:val="en-US" w:eastAsia="zh-CN" w:bidi="ar"/>
              </w:rPr>
            </w:pPr>
            <w:r>
              <w:rPr>
                <w:rFonts w:hint="eastAsia" w:ascii="仿宋" w:hAnsi="仿宋" w:eastAsia="仿宋" w:cs="仿宋"/>
                <w:color w:val="auto"/>
                <w:kern w:val="0"/>
                <w:sz w:val="20"/>
                <w:szCs w:val="20"/>
                <w:lang w:val="en-US" w:eastAsia="zh-CN" w:bidi="ar"/>
              </w:rPr>
              <w:t>27个</w:t>
            </w:r>
          </w:p>
        </w:tc>
        <w:tc>
          <w:tcPr>
            <w:tcW w:w="769" w:type="dxa"/>
            <w:noWrap w:val="0"/>
            <w:vAlign w:val="center"/>
          </w:tcPr>
          <w:p>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c>
                <w:tcPr>
                  <w:tcW w:w="216" w:type="dxa"/>
                  <w:noWrap w:val="0"/>
                  <w:vAlign w:val="top"/>
                </w:tcPr>
                <w:p>
                  <w:pPr>
                    <w:jc w:val="center"/>
                    <w:rPr>
                      <w:rFonts w:ascii="仿宋_GB2312" w:hAnsi="宋体" w:eastAsia="仿宋_GB2312"/>
                      <w:kern w:val="0"/>
                      <w:vertAlign w:val="baseline"/>
                    </w:rPr>
                  </w:pPr>
                </w:p>
              </w:tc>
            </w:tr>
          </w:tbl>
          <w:p>
            <w:pPr>
              <w:jc w:val="center"/>
              <w:rPr>
                <w:rFonts w:ascii="仿宋_GB2312" w:hAnsi="宋体" w:eastAsia="仿宋_GB2312"/>
                <w:kern w:val="0"/>
              </w:rPr>
            </w:pPr>
          </w:p>
        </w:tc>
        <w:tc>
          <w:tcPr>
            <w:tcW w:w="690" w:type="dxa"/>
            <w:vMerge w:val="continue"/>
            <w:noWrap w:val="0"/>
            <w:vAlign w:val="center"/>
          </w:tcPr>
          <w:p>
            <w:pPr>
              <w:jc w:val="center"/>
              <w:rPr>
                <w:rFonts w:ascii="仿宋_GB2312" w:hAnsi="宋体" w:eastAsia="仿宋_GB2312"/>
                <w:kern w:val="0"/>
              </w:rPr>
            </w:pPr>
          </w:p>
        </w:tc>
        <w:tc>
          <w:tcPr>
            <w:tcW w:w="1065" w:type="dxa"/>
            <w:vMerge w:val="continue"/>
            <w:noWrap w:val="0"/>
            <w:vAlign w:val="center"/>
          </w:tcPr>
          <w:p>
            <w:pPr>
              <w:jc w:val="center"/>
              <w:rPr>
                <w:rFonts w:ascii="仿宋_GB2312" w:hAnsi="宋体" w:eastAsia="仿宋_GB2312"/>
                <w:kern w:val="0"/>
                <w:sz w:val="20"/>
                <w:szCs w:val="20"/>
              </w:rPr>
            </w:pPr>
          </w:p>
        </w:tc>
        <w:tc>
          <w:tcPr>
            <w:tcW w:w="3090" w:type="dxa"/>
            <w:gridSpan w:val="3"/>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color w:val="000000"/>
                <w:sz w:val="20"/>
              </w:rPr>
              <w:t>吸引更多的国内外资金、技术和人才来来我区投资</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5个</w:t>
            </w:r>
          </w:p>
        </w:tc>
        <w:tc>
          <w:tcPr>
            <w:tcW w:w="1275" w:type="dxa"/>
            <w:gridSpan w:val="2"/>
            <w:noWrap w:val="0"/>
            <w:vAlign w:val="center"/>
          </w:tcPr>
          <w:p>
            <w:pPr>
              <w:jc w:val="center"/>
              <w:textAlignment w:val="center"/>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5个</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rPr>
                <w:rFonts w:ascii="仿宋_GB2312" w:hAnsi="宋体" w:eastAsia="仿宋_GB2312"/>
                <w:kern w:val="0"/>
              </w:rPr>
            </w:pPr>
          </w:p>
        </w:tc>
        <w:tc>
          <w:tcPr>
            <w:tcW w:w="690" w:type="dxa"/>
            <w:vMerge w:val="continue"/>
            <w:noWrap w:val="0"/>
            <w:vAlign w:val="center"/>
          </w:tcPr>
          <w:p>
            <w:pPr>
              <w:jc w:val="center"/>
              <w:rPr>
                <w:rFonts w:ascii="仿宋_GB2312" w:hAnsi="宋体" w:eastAsia="仿宋_GB2312"/>
                <w:kern w:val="0"/>
              </w:rPr>
            </w:pPr>
          </w:p>
        </w:tc>
        <w:tc>
          <w:tcPr>
            <w:tcW w:w="1065" w:type="dxa"/>
            <w:vMerge w:val="continue"/>
            <w:noWrap w:val="0"/>
            <w:vAlign w:val="center"/>
          </w:tcPr>
          <w:p>
            <w:pPr>
              <w:jc w:val="center"/>
              <w:rPr>
                <w:rFonts w:ascii="仿宋_GB2312" w:hAnsi="宋体" w:eastAsia="仿宋_GB2312"/>
                <w:kern w:val="0"/>
                <w:sz w:val="20"/>
                <w:szCs w:val="20"/>
              </w:rPr>
            </w:pPr>
          </w:p>
        </w:tc>
        <w:tc>
          <w:tcPr>
            <w:tcW w:w="3090" w:type="dxa"/>
            <w:gridSpan w:val="3"/>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color w:val="000000"/>
                <w:sz w:val="20"/>
              </w:rPr>
              <w:t>新项目开工</w:t>
            </w:r>
          </w:p>
        </w:tc>
        <w:tc>
          <w:tcPr>
            <w:tcW w:w="1350" w:type="dxa"/>
            <w:noWrap w:val="0"/>
            <w:vAlign w:val="center"/>
          </w:tcPr>
          <w:p>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10个</w:t>
            </w:r>
          </w:p>
        </w:tc>
        <w:tc>
          <w:tcPr>
            <w:tcW w:w="1275" w:type="dxa"/>
            <w:gridSpan w:val="2"/>
            <w:noWrap w:val="0"/>
            <w:vAlign w:val="center"/>
          </w:tcPr>
          <w:p>
            <w:pPr>
              <w:keepNext w:val="0"/>
              <w:keepLines w:val="0"/>
              <w:widowControl/>
              <w:suppressLineNumbers w:val="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10个</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pPr>
              <w:jc w:val="center"/>
              <w:rPr>
                <w:rFonts w:ascii="仿宋_GB2312" w:hAnsi="宋体" w:eastAsia="仿宋_GB2312"/>
                <w:kern w:val="0"/>
              </w:rPr>
            </w:pPr>
          </w:p>
        </w:tc>
        <w:tc>
          <w:tcPr>
            <w:tcW w:w="690" w:type="dxa"/>
            <w:vMerge w:val="continue"/>
            <w:noWrap w:val="0"/>
            <w:vAlign w:val="center"/>
          </w:tcPr>
          <w:p>
            <w:pPr>
              <w:jc w:val="center"/>
              <w:rPr>
                <w:rFonts w:ascii="仿宋_GB2312" w:hAnsi="宋体" w:eastAsia="仿宋_GB2312"/>
                <w:kern w:val="0"/>
              </w:rPr>
            </w:pPr>
          </w:p>
        </w:tc>
        <w:tc>
          <w:tcPr>
            <w:tcW w:w="1065" w:type="dxa"/>
            <w:noWrap w:val="0"/>
            <w:vAlign w:val="center"/>
          </w:tcPr>
          <w:p>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pPr>
              <w:jc w:val="both"/>
              <w:textAlignment w:val="center"/>
              <w:rPr>
                <w:rFonts w:ascii="仿宋_GB2312" w:hAnsi="宋体" w:eastAsia="仿宋_GB2312"/>
                <w:kern w:val="0"/>
                <w:sz w:val="20"/>
                <w:szCs w:val="20"/>
              </w:rPr>
            </w:pPr>
            <w:r>
              <w:rPr>
                <w:color w:val="000000"/>
                <w:sz w:val="20"/>
              </w:rPr>
              <w:t>引进重点产业项目</w:t>
            </w:r>
          </w:p>
        </w:tc>
        <w:tc>
          <w:tcPr>
            <w:tcW w:w="1350" w:type="dxa"/>
            <w:noWrap w:val="0"/>
            <w:vAlign w:val="center"/>
          </w:tcPr>
          <w:p>
            <w:pPr>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18个</w:t>
            </w:r>
          </w:p>
        </w:tc>
        <w:tc>
          <w:tcPr>
            <w:tcW w:w="1275" w:type="dxa"/>
            <w:gridSpan w:val="2"/>
            <w:noWrap w:val="0"/>
            <w:vAlign w:val="center"/>
          </w:tcPr>
          <w:p>
            <w:pPr>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18个</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textAlignment w:val="center"/>
              <w:rPr>
                <w:rFonts w:ascii="仿宋_GB2312" w:hAnsi="宋体" w:eastAsia="仿宋_GB2312"/>
                <w:kern w:val="0"/>
              </w:rPr>
            </w:pPr>
          </w:p>
        </w:tc>
        <w:tc>
          <w:tcPr>
            <w:tcW w:w="690" w:type="dxa"/>
            <w:vMerge w:val="restart"/>
            <w:noWrap w:val="0"/>
            <w:vAlign w:val="center"/>
          </w:tcPr>
          <w:p>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20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center"/>
          </w:tcPr>
          <w:p>
            <w:pPr>
              <w:keepNext w:val="0"/>
              <w:keepLines w:val="0"/>
              <w:widowControl/>
              <w:suppressLineNumbers w:val="0"/>
              <w:jc w:val="left"/>
              <w:textAlignment w:val="center"/>
              <w:rPr>
                <w:rFonts w:hint="eastAsia" w:ascii="仿宋_GB2312" w:hAnsi="宋体" w:eastAsia="宋体"/>
                <w:kern w:val="0"/>
                <w:lang w:val="en-US" w:eastAsia="zh-CN"/>
              </w:rPr>
            </w:pPr>
            <w:r>
              <w:rPr>
                <w:color w:val="000000"/>
                <w:sz w:val="20"/>
              </w:rPr>
              <w:t>到位省外资金</w:t>
            </w:r>
          </w:p>
        </w:tc>
        <w:tc>
          <w:tcPr>
            <w:tcW w:w="1350" w:type="dxa"/>
            <w:noWrap w:val="0"/>
            <w:vAlign w:val="center"/>
          </w:tcPr>
          <w:p>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30亿元</w:t>
            </w:r>
          </w:p>
        </w:tc>
        <w:tc>
          <w:tcPr>
            <w:tcW w:w="1275" w:type="dxa"/>
            <w:gridSpan w:val="2"/>
            <w:noWrap w:val="0"/>
            <w:vAlign w:val="center"/>
          </w:tcPr>
          <w:p>
            <w:pPr>
              <w:keepNext w:val="0"/>
              <w:keepLines w:val="0"/>
              <w:widowControl/>
              <w:suppressLineNumbers w:val="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41.44亿元</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textAlignment w:val="center"/>
              <w:rPr>
                <w:rFonts w:ascii="仿宋_GB2312" w:hAnsi="宋体" w:eastAsia="仿宋_GB2312"/>
                <w:kern w:val="0"/>
              </w:rPr>
            </w:pPr>
          </w:p>
        </w:tc>
        <w:tc>
          <w:tcPr>
            <w:tcW w:w="690" w:type="dxa"/>
            <w:vMerge w:val="continue"/>
            <w:noWrap w:val="0"/>
            <w:vAlign w:val="center"/>
          </w:tcPr>
          <w:p>
            <w:pPr>
              <w:jc w:val="center"/>
              <w:textAlignment w:val="center"/>
              <w:rPr>
                <w:rFonts w:ascii="仿宋_GB2312" w:hAnsi="宋体" w:eastAsia="仿宋_GB2312"/>
                <w:kern w:val="0"/>
              </w:rPr>
            </w:pPr>
          </w:p>
        </w:tc>
        <w:tc>
          <w:tcPr>
            <w:tcW w:w="1065" w:type="dxa"/>
            <w:vMerge w:val="continue"/>
            <w:noWrap w:val="0"/>
            <w:vAlign w:val="center"/>
          </w:tcPr>
          <w:p>
            <w:pPr>
              <w:jc w:val="center"/>
              <w:textAlignment w:val="center"/>
              <w:rPr>
                <w:rFonts w:ascii="仿宋_GB2312" w:hAnsi="宋体" w:eastAsia="仿宋_GB2312"/>
                <w:kern w:val="0"/>
              </w:rPr>
            </w:pPr>
          </w:p>
        </w:tc>
        <w:tc>
          <w:tcPr>
            <w:tcW w:w="3090" w:type="dxa"/>
            <w:gridSpan w:val="3"/>
            <w:noWrap w:val="0"/>
            <w:vAlign w:val="center"/>
          </w:tcPr>
          <w:p>
            <w:pPr>
              <w:keepNext w:val="0"/>
              <w:keepLines w:val="0"/>
              <w:widowControl/>
              <w:suppressLineNumbers w:val="0"/>
              <w:jc w:val="left"/>
              <w:textAlignment w:val="center"/>
              <w:rPr>
                <w:rFonts w:ascii="仿宋_GB2312" w:hAnsi="宋体" w:eastAsia="仿宋_GB2312"/>
                <w:kern w:val="0"/>
              </w:rPr>
            </w:pPr>
            <w:r>
              <w:rPr>
                <w:color w:val="000000"/>
                <w:sz w:val="20"/>
              </w:rPr>
              <w:t>实际到位省内资金</w:t>
            </w:r>
          </w:p>
        </w:tc>
        <w:tc>
          <w:tcPr>
            <w:tcW w:w="1350" w:type="dxa"/>
            <w:noWrap w:val="0"/>
            <w:vAlign w:val="center"/>
          </w:tcPr>
          <w:p>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45亿元</w:t>
            </w:r>
          </w:p>
        </w:tc>
        <w:tc>
          <w:tcPr>
            <w:tcW w:w="1275" w:type="dxa"/>
            <w:gridSpan w:val="2"/>
            <w:noWrap w:val="0"/>
            <w:vAlign w:val="center"/>
          </w:tcPr>
          <w:p>
            <w:pPr>
              <w:keepNext w:val="0"/>
              <w:keepLines w:val="0"/>
              <w:widowControl/>
              <w:suppressLineNumbers w:val="0"/>
              <w:jc w:val="center"/>
              <w:textAlignment w:val="bottom"/>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82.6亿元</w:t>
            </w: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pPr>
              <w:jc w:val="center"/>
              <w:textAlignment w:val="center"/>
              <w:rPr>
                <w:rFonts w:ascii="仿宋_GB2312" w:hAnsi="宋体" w:eastAsia="仿宋_GB2312"/>
                <w:kern w:val="0"/>
              </w:rPr>
            </w:pPr>
          </w:p>
        </w:tc>
        <w:tc>
          <w:tcPr>
            <w:tcW w:w="690" w:type="dxa"/>
            <w:vMerge w:val="continue"/>
            <w:noWrap w:val="0"/>
            <w:vAlign w:val="center"/>
          </w:tcPr>
          <w:p>
            <w:pPr>
              <w:jc w:val="center"/>
              <w:textAlignment w:val="center"/>
              <w:rPr>
                <w:rFonts w:ascii="仿宋_GB2312" w:hAnsi="宋体" w:eastAsia="仿宋_GB2312"/>
                <w:kern w:val="0"/>
              </w:rPr>
            </w:pPr>
          </w:p>
        </w:tc>
        <w:tc>
          <w:tcPr>
            <w:tcW w:w="1065" w:type="dxa"/>
            <w:noWrap w:val="0"/>
            <w:vAlign w:val="center"/>
          </w:tcPr>
          <w:p>
            <w:pPr>
              <w:jc w:val="center"/>
              <w:textAlignment w:val="center"/>
              <w:rPr>
                <w:rFonts w:hint="eastAsia" w:ascii="仿宋_GB2312" w:hAnsi="宋体" w:eastAsia="宋体" w:cs="仿宋_GB2312"/>
                <w:kern w:val="0"/>
                <w:lang w:eastAsia="zh-CN"/>
              </w:rPr>
            </w:pPr>
            <w:r>
              <w:rPr>
                <w:rFonts w:hint="eastAsia"/>
                <w:color w:val="000000"/>
                <w:sz w:val="20"/>
              </w:rPr>
              <w:t>可持续影响指标</w:t>
            </w:r>
            <w:r>
              <w:rPr>
                <w:rFonts w:hint="eastAsia"/>
                <w:color w:val="000000"/>
                <w:sz w:val="20"/>
                <w:lang w:eastAsia="zh-CN"/>
              </w:rPr>
              <w:t>（</w:t>
            </w:r>
            <w:r>
              <w:rPr>
                <w:rFonts w:hint="eastAsia"/>
                <w:color w:val="000000"/>
                <w:sz w:val="20"/>
                <w:lang w:val="en-US" w:eastAsia="zh-CN"/>
              </w:rPr>
              <w:t>10分</w:t>
            </w:r>
            <w:r>
              <w:rPr>
                <w:rFonts w:hint="eastAsia"/>
                <w:color w:val="000000"/>
                <w:sz w:val="20"/>
                <w:lang w:eastAsia="zh-CN"/>
              </w:rPr>
              <w:t>）</w:t>
            </w:r>
          </w:p>
        </w:tc>
        <w:tc>
          <w:tcPr>
            <w:tcW w:w="3090" w:type="dxa"/>
            <w:gridSpan w:val="3"/>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color w:val="000000"/>
                <w:sz w:val="20"/>
              </w:rPr>
              <w:t>吸引更多的国内外资金、技术和人才来来我区投资</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kern w:val="0"/>
                <w:sz w:val="20"/>
                <w:szCs w:val="20"/>
                <w:lang w:eastAsia="zh-CN"/>
              </w:rPr>
            </w:pPr>
            <w:r>
              <w:rPr>
                <w:color w:val="000000"/>
                <w:sz w:val="20"/>
              </w:rPr>
              <w:t>外地企业数量增加</w:t>
            </w:r>
          </w:p>
        </w:tc>
        <w:tc>
          <w:tcPr>
            <w:tcW w:w="1275" w:type="dxa"/>
            <w:gridSpan w:val="2"/>
            <w:noWrap w:val="0"/>
            <w:vAlign w:val="center"/>
          </w:tcPr>
          <w:p>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pPr>
              <w:jc w:val="center"/>
              <w:textAlignment w:val="center"/>
              <w:rPr>
                <w:rFonts w:hint="eastAsia" w:ascii="仿宋_GB2312" w:hAnsi="Times New Roman" w:eastAsia="仿宋_GB2312" w:cs="Times New Roman"/>
                <w:color w:val="000000"/>
                <w:kern w:val="0"/>
                <w:szCs w:val="21"/>
                <w:lang w:eastAsia="zh-CN" w:bidi="ar"/>
              </w:rPr>
            </w:pPr>
            <w:r>
              <w:rPr>
                <w:rFonts w:hint="eastAsia" w:ascii="仿宋_GB2312" w:eastAsia="仿宋_GB2312" w:cs="Times New Roman"/>
                <w:color w:val="000000"/>
                <w:kern w:val="0"/>
                <w:szCs w:val="21"/>
                <w:lang w:eastAsia="zh-CN" w:bidi="ar"/>
              </w:rPr>
              <w:t>总分</w:t>
            </w:r>
          </w:p>
        </w:tc>
        <w:tc>
          <w:tcPr>
            <w:tcW w:w="8239" w:type="dxa"/>
            <w:gridSpan w:val="9"/>
            <w:noWrap w:val="0"/>
            <w:vAlign w:val="center"/>
          </w:tcPr>
          <w:p>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r>
    </w:tbl>
    <w:tbl>
      <w:tblPr>
        <w:tblStyle w:val="13"/>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noWrap w:val="0"/>
            <w:vAlign w:val="top"/>
          </w:tcPr>
          <w:p>
            <w:pPr>
              <w:spacing w:line="242" w:lineRule="auto"/>
              <w:rPr>
                <w:rFonts w:ascii="Arial"/>
                <w:b w:val="0"/>
                <w:bCs w:val="0"/>
                <w:sz w:val="21"/>
                <w:szCs w:val="21"/>
              </w:rPr>
            </w:pPr>
          </w:p>
          <w:p>
            <w:pPr>
              <w:spacing w:line="242" w:lineRule="auto"/>
              <w:rPr>
                <w:rFonts w:ascii="Arial"/>
                <w:b w:val="0"/>
                <w:bCs w:val="0"/>
                <w:sz w:val="21"/>
                <w:szCs w:val="21"/>
              </w:rPr>
            </w:pPr>
          </w:p>
          <w:p>
            <w:pPr>
              <w:jc w:val="center"/>
              <w:rPr>
                <w:b w:val="0"/>
                <w:bCs w:val="0"/>
                <w:sz w:val="21"/>
                <w:szCs w:val="21"/>
              </w:rPr>
            </w:pPr>
            <w:r>
              <w:rPr>
                <w:b w:val="0"/>
                <w:bCs w:val="0"/>
                <w:sz w:val="21"/>
                <w:szCs w:val="21"/>
              </w:rPr>
              <w:t>偏差大或</w:t>
            </w:r>
          </w:p>
          <w:p>
            <w:pPr>
              <w:jc w:val="center"/>
              <w:rPr>
                <w:b w:val="0"/>
                <w:bCs w:val="0"/>
                <w:sz w:val="21"/>
                <w:szCs w:val="21"/>
              </w:rPr>
            </w:pPr>
            <w:r>
              <w:rPr>
                <w:b w:val="0"/>
                <w:bCs w:val="0"/>
                <w:sz w:val="21"/>
                <w:szCs w:val="21"/>
              </w:rPr>
              <w:t>目标未完成</w:t>
            </w:r>
          </w:p>
          <w:p>
            <w:pPr>
              <w:jc w:val="center"/>
              <w:rPr>
                <w:rFonts w:ascii="宋体" w:hAnsi="宋体" w:eastAsia="宋体" w:cs="宋体"/>
                <w:b w:val="0"/>
                <w:bCs w:val="0"/>
                <w:sz w:val="21"/>
                <w:szCs w:val="21"/>
              </w:rPr>
            </w:pPr>
            <w:r>
              <w:rPr>
                <w:b w:val="0"/>
                <w:bCs w:val="0"/>
                <w:sz w:val="21"/>
                <w:szCs w:val="21"/>
              </w:rPr>
              <w:t>原因分析</w:t>
            </w:r>
          </w:p>
        </w:tc>
        <w:tc>
          <w:tcPr>
            <w:tcW w:w="7406" w:type="dxa"/>
            <w:noWrap w:val="0"/>
            <w:vAlign w:val="top"/>
          </w:tcPr>
          <w:p>
            <w:pPr>
              <w:rPr>
                <w:rFonts w:hint="eastAsia" w:ascii="Arial" w:eastAsiaTheme="minorEastAsia"/>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noWrap w:val="0"/>
            <w:vAlign w:val="top"/>
          </w:tcPr>
          <w:p>
            <w:pPr>
              <w:spacing w:line="270" w:lineRule="auto"/>
              <w:rPr>
                <w:rFonts w:ascii="Arial"/>
                <w:b w:val="0"/>
                <w:bCs w:val="0"/>
                <w:sz w:val="21"/>
                <w:szCs w:val="21"/>
              </w:rPr>
            </w:pPr>
          </w:p>
          <w:p>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noWrap w:val="0"/>
            <w:vAlign w:val="top"/>
          </w:tcPr>
          <w:p>
            <w:pPr>
              <w:rPr>
                <w:rFonts w:hint="eastAsia" w:ascii="Arial" w:eastAsiaTheme="minorEastAsia"/>
                <w:sz w:val="21"/>
                <w:lang w:eastAsia="zh-CN"/>
              </w:rPr>
            </w:pPr>
            <w:r>
              <w:rPr>
                <w:rFonts w:hint="eastAsia" w:ascii="Arial"/>
                <w:sz w:val="21"/>
                <w:lang w:eastAsia="zh-CN"/>
              </w:rPr>
              <w:t>无</w:t>
            </w:r>
          </w:p>
        </w:tc>
      </w:tr>
    </w:tbl>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（三）绩效评级结果应用情况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区招商中心将建立评价结果和预算安排有机结合的机制，将上一年度绩效自评结果作为安排2022年度预算的基本依据，评价结果差的，调减该项目预算，评价结果好的，优先安排，并予以适当激励。  </w:t>
      </w:r>
    </w:p>
    <w:p>
      <w:pPr>
        <w:rPr>
          <w:rFonts w:hint="eastAsia" w:ascii="宋体" w:hAnsi="宋体" w:eastAsia="宋体" w:cs="宋体"/>
          <w:kern w:val="0"/>
          <w:sz w:val="28"/>
          <w:szCs w:val="28"/>
          <w:lang w:val="en-US" w:eastAsia="zh-CN"/>
        </w:rPr>
      </w:pPr>
    </w:p>
    <w:p>
      <w:pPr>
        <w:rPr>
          <w:rFonts w:hint="eastAsia" w:ascii="宋体" w:hAnsi="宋体" w:eastAsia="宋体" w:cs="宋体"/>
          <w:kern w:val="0"/>
          <w:sz w:val="28"/>
          <w:szCs w:val="28"/>
          <w:lang w:val="en-US" w:eastAsia="zh-CN"/>
        </w:rPr>
      </w:pP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第四部分、名词解释</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一、财政拨款收入：指财政部门当年拨付的资金。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二、事业收入：指事业单位开展专业业务活动及辅助活动所取得的收入。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四、其他收入：指除上述“财政拨款收入”、“事业收入”、“经营收入”等以外的收入。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六、年初结转和结余：指以前年度尚未完成、结转到本年 按有关规定继续使用的资金。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九、基本支出：指为保障机构正常运转、完成日常工作任务而发生的人员支出和公用支出。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十、项目支出：指在基本支出之外为完成特定行政任务和事业发展目标所发生的支出。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DF3428"/>
    <w:rsid w:val="002847FB"/>
    <w:rsid w:val="003A351D"/>
    <w:rsid w:val="005A7C86"/>
    <w:rsid w:val="00A37296"/>
    <w:rsid w:val="00F3298C"/>
    <w:rsid w:val="02201F96"/>
    <w:rsid w:val="06074A22"/>
    <w:rsid w:val="10F41EDB"/>
    <w:rsid w:val="12D41B96"/>
    <w:rsid w:val="173A685C"/>
    <w:rsid w:val="35364364"/>
    <w:rsid w:val="4C670F8A"/>
    <w:rsid w:val="5F1E2C38"/>
    <w:rsid w:val="68DF3428"/>
    <w:rsid w:val="751C0289"/>
    <w:rsid w:val="75C633B0"/>
    <w:rsid w:val="76DA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804</Words>
  <Characters>4589</Characters>
  <Lines>38</Lines>
  <Paragraphs>10</Paragraphs>
  <TotalTime>0</TotalTime>
  <ScaleCrop>false</ScaleCrop>
  <LinksUpToDate>false</LinksUpToDate>
  <CharactersWithSpaces>5383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2023-05-14T11:32:00Z</dcterms:created>
  <dc:creator>Administrator</dc:creator>
  <cp:lastModifiedBy>墨墨</cp:lastModifiedBy>
  <dcterms:modified xsi:type="dcterms:W3CDTF">2023-08-23T08:57:34Z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FC2E0FDACDAC401A9CE68AB3021E48D0_11</vt:lpwstr>
  </property>
</Properties>
</file>