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724735">
      <w:pPr>
        <w:keepNext w:val="0"/>
        <w:keepLines w:val="0"/>
        <w:widowControl/>
        <w:suppressLineNumbers w:val="0"/>
        <w:ind w:left="0" w:firstLine="0"/>
        <w:jc w:val="center"/>
        <w:rPr>
          <w:rFonts w:hint="eastAsia" w:ascii="宋体" w:hAnsi="宋体" w:eastAsia="宋体" w:cs="宋体"/>
          <w:i w:val="0"/>
          <w:iCs w:val="0"/>
          <w:caps w:val="0"/>
          <w:color w:val="222222"/>
          <w:spacing w:val="0"/>
          <w:kern w:val="0"/>
          <w:sz w:val="44"/>
          <w:szCs w:val="44"/>
          <w:lang w:val="en-US" w:eastAsia="zh-CN" w:bidi="ar"/>
        </w:rPr>
      </w:pPr>
      <w:r>
        <w:rPr>
          <w:rFonts w:hint="eastAsia" w:ascii="宋体" w:hAnsi="宋体" w:eastAsia="宋体" w:cs="宋体"/>
          <w:i w:val="0"/>
          <w:iCs w:val="0"/>
          <w:caps w:val="0"/>
          <w:color w:val="222222"/>
          <w:spacing w:val="0"/>
          <w:kern w:val="0"/>
          <w:sz w:val="44"/>
          <w:szCs w:val="44"/>
          <w:lang w:val="en-US" w:eastAsia="zh-CN" w:bidi="ar"/>
        </w:rPr>
        <w:t>黄石市下陆区新下陆街道办事处</w:t>
      </w:r>
    </w:p>
    <w:p w14:paraId="6571E4FD">
      <w:pPr>
        <w:keepNext w:val="0"/>
        <w:keepLines w:val="0"/>
        <w:widowControl/>
        <w:suppressLineNumbers w:val="0"/>
        <w:ind w:left="0" w:firstLine="0"/>
        <w:jc w:val="center"/>
        <w:rPr>
          <w:rFonts w:hint="eastAsia" w:ascii="宋体" w:hAnsi="宋体" w:eastAsia="宋体" w:cs="宋体"/>
          <w:i w:val="0"/>
          <w:iCs w:val="0"/>
          <w:caps w:val="0"/>
          <w:color w:val="222222"/>
          <w:spacing w:val="0"/>
          <w:kern w:val="0"/>
          <w:sz w:val="44"/>
          <w:szCs w:val="44"/>
          <w:lang w:val="en-US" w:eastAsia="zh-CN" w:bidi="ar"/>
        </w:rPr>
      </w:pPr>
      <w:r>
        <w:rPr>
          <w:rFonts w:hint="eastAsia" w:ascii="宋体" w:hAnsi="宋体" w:eastAsia="宋体" w:cs="宋体"/>
          <w:i w:val="0"/>
          <w:iCs w:val="0"/>
          <w:caps w:val="0"/>
          <w:color w:val="222222"/>
          <w:spacing w:val="0"/>
          <w:kern w:val="0"/>
          <w:sz w:val="44"/>
          <w:szCs w:val="44"/>
          <w:lang w:val="en-US" w:eastAsia="zh-CN" w:bidi="ar"/>
        </w:rPr>
        <w:t>2021年度部门决算公开说明</w:t>
      </w:r>
    </w:p>
    <w:p w14:paraId="2532A310">
      <w:pPr>
        <w:keepNext w:val="0"/>
        <w:keepLines w:val="0"/>
        <w:widowControl/>
        <w:suppressLineNumbers w:val="0"/>
        <w:ind w:left="0" w:firstLine="0"/>
        <w:jc w:val="center"/>
        <w:rPr>
          <w:rFonts w:hint="default" w:ascii="Arial" w:hAnsi="Arial" w:eastAsia="宋体" w:cs="Arial"/>
          <w:i w:val="0"/>
          <w:iCs w:val="0"/>
          <w:caps w:val="0"/>
          <w:color w:val="222222"/>
          <w:spacing w:val="0"/>
          <w:kern w:val="0"/>
          <w:sz w:val="36"/>
          <w:szCs w:val="36"/>
          <w:lang w:val="en-US" w:eastAsia="zh-CN" w:bidi="ar"/>
        </w:rPr>
      </w:pPr>
      <w:r>
        <w:rPr>
          <w:rFonts w:hint="default" w:ascii="Arial" w:hAnsi="Arial" w:eastAsia="宋体" w:cs="Arial"/>
          <w:i w:val="0"/>
          <w:iCs w:val="0"/>
          <w:caps w:val="0"/>
          <w:color w:val="222222"/>
          <w:spacing w:val="0"/>
          <w:kern w:val="0"/>
          <w:sz w:val="36"/>
          <w:szCs w:val="36"/>
          <w:lang w:val="en-US" w:eastAsia="zh-CN" w:bidi="ar"/>
        </w:rPr>
        <w:t>目  录</w:t>
      </w:r>
    </w:p>
    <w:p w14:paraId="7F472595">
      <w:pPr>
        <w:keepNext w:val="0"/>
        <w:keepLines w:val="0"/>
        <w:widowControl/>
        <w:suppressLineNumbers w:val="0"/>
        <w:ind w:left="0" w:firstLine="0"/>
        <w:jc w:val="left"/>
        <w:rPr>
          <w:rFonts w:hint="eastAsia" w:ascii="宋体" w:hAnsi="宋体" w:eastAsia="宋体" w:cs="宋体"/>
          <w:i w:val="0"/>
          <w:iCs w:val="0"/>
          <w:caps w:val="0"/>
          <w:color w:val="222222"/>
          <w:spacing w:val="0"/>
          <w:kern w:val="0"/>
          <w:sz w:val="28"/>
          <w:szCs w:val="28"/>
          <w:lang w:val="en-US" w:eastAsia="zh-CN" w:bidi="ar"/>
        </w:rPr>
      </w:pPr>
      <w:r>
        <w:rPr>
          <w:rFonts w:hint="eastAsia" w:ascii="宋体" w:hAnsi="宋体" w:eastAsia="宋体" w:cs="宋体"/>
          <w:i w:val="0"/>
          <w:iCs w:val="0"/>
          <w:caps w:val="0"/>
          <w:color w:val="222222"/>
          <w:spacing w:val="0"/>
          <w:kern w:val="0"/>
          <w:sz w:val="28"/>
          <w:szCs w:val="28"/>
          <w:lang w:val="en-US" w:eastAsia="zh-CN" w:bidi="ar"/>
        </w:rPr>
        <w:t>第一部分:部门基本情况</w:t>
      </w:r>
    </w:p>
    <w:p w14:paraId="7A63485D">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lang w:val="en-US" w:eastAsia="zh-CN"/>
        </w:rPr>
        <w:t>一、</w:t>
      </w:r>
      <w:r>
        <w:rPr>
          <w:rFonts w:hint="eastAsia" w:ascii="宋体" w:hAnsi="宋体" w:eastAsia="宋体" w:cs="宋体"/>
          <w:i w:val="0"/>
          <w:iCs w:val="0"/>
          <w:caps w:val="0"/>
          <w:color w:val="222222"/>
          <w:spacing w:val="0"/>
          <w:sz w:val="24"/>
          <w:szCs w:val="24"/>
          <w:shd w:val="clear" w:fill="FFFFFF"/>
        </w:rPr>
        <w:t>部门主要职责</w:t>
      </w:r>
    </w:p>
    <w:p w14:paraId="3A263A58">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二、部门机构设置情况</w:t>
      </w:r>
    </w:p>
    <w:p w14:paraId="7EA615EA">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14:paraId="6C934436">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第二部分: 部门2021年部门决算表</w:t>
      </w:r>
    </w:p>
    <w:p w14:paraId="64DB7CD3">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一、收入支出决算总表                    </w:t>
      </w:r>
    </w:p>
    <w:p w14:paraId="5F121EBC">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二、收入决算表                     </w:t>
      </w:r>
    </w:p>
    <w:p w14:paraId="60A627FE">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三、支出决算表                     </w:t>
      </w:r>
    </w:p>
    <w:p w14:paraId="7B6CB4BA">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四、财政拨款收入支出决算总表       </w:t>
      </w:r>
    </w:p>
    <w:p w14:paraId="466B93E2">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五、一般公共预算财政拨款支出决算表        </w:t>
      </w:r>
    </w:p>
    <w:p w14:paraId="57D09DD9">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六、一般公共预算财政拨款基本支出决算表  </w:t>
      </w:r>
    </w:p>
    <w:p w14:paraId="2C39A4EB">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七、一般公共预算财政拨款“三公”经费支出决算表  </w:t>
      </w:r>
    </w:p>
    <w:p w14:paraId="367F8F9F">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八、政府性基金预算财政拨款收入支出决算表     </w:t>
      </w:r>
    </w:p>
    <w:p w14:paraId="2A1988E9">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九、国有资本经营预算财政拨款支出决算表</w:t>
      </w:r>
    </w:p>
    <w:p w14:paraId="10ADEC73">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14:paraId="018846B2">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第三部分：部门2021年部门决算情况说明</w:t>
      </w:r>
    </w:p>
    <w:p w14:paraId="664E845C">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一、收支总体情况说明</w:t>
      </w:r>
    </w:p>
    <w:p w14:paraId="60859BA1">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二、决算收入支出增减变化情况说明</w:t>
      </w:r>
    </w:p>
    <w:p w14:paraId="3E98A44E">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三、财政拨款收入支出决算情况说明</w:t>
      </w:r>
    </w:p>
    <w:p w14:paraId="114A3BF7">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四、一般公共预算财政拨款支出决算情况说明</w:t>
      </w:r>
    </w:p>
    <w:p w14:paraId="48629817">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五、一般公共预算财政拨款基本支出决算情况说明</w:t>
      </w:r>
    </w:p>
    <w:p w14:paraId="207D262E">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六、一般公共预算财政拨款“三公”经费支出决算情况说明</w:t>
      </w:r>
    </w:p>
    <w:p w14:paraId="77D093E4">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七、机关运行费执行情况说明</w:t>
      </w:r>
    </w:p>
    <w:p w14:paraId="378DC0AD">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八、政府采购支出情况说明</w:t>
      </w:r>
    </w:p>
    <w:p w14:paraId="39958497">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九、国有资产占用情况说明</w:t>
      </w:r>
    </w:p>
    <w:p w14:paraId="141562F6">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十、其他情况</w:t>
      </w:r>
    </w:p>
    <w:p w14:paraId="52D867CF">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十一、预算绩效情况说明</w:t>
      </w:r>
    </w:p>
    <w:p w14:paraId="01C7C0C8">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3C2E05FF">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第四部分：名词解释</w:t>
      </w:r>
    </w:p>
    <w:p w14:paraId="3D031724">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p>
    <w:p w14:paraId="4170A588">
      <w:pPr>
        <w:keepNext w:val="0"/>
        <w:keepLines w:val="0"/>
        <w:widowControl/>
        <w:suppressLineNumbers w:val="0"/>
        <w:ind w:left="0" w:firstLine="0"/>
        <w:jc w:val="left"/>
        <w:rPr>
          <w:rFonts w:hint="eastAsia" w:ascii="宋体" w:hAnsi="宋体" w:eastAsia="宋体" w:cs="宋体"/>
          <w:i w:val="0"/>
          <w:iCs w:val="0"/>
          <w:caps w:val="0"/>
          <w:color w:val="222222"/>
          <w:spacing w:val="0"/>
          <w:sz w:val="28"/>
          <w:szCs w:val="28"/>
          <w:shd w:val="clear" w:fill="FFFFFF"/>
          <w:lang w:eastAsia="zh-CN"/>
        </w:rPr>
      </w:pPr>
      <w:r>
        <w:rPr>
          <w:rFonts w:hint="eastAsia" w:ascii="宋体" w:hAnsi="宋体" w:eastAsia="宋体" w:cs="宋体"/>
          <w:i w:val="0"/>
          <w:iCs w:val="0"/>
          <w:caps w:val="0"/>
          <w:color w:val="222222"/>
          <w:spacing w:val="0"/>
          <w:sz w:val="28"/>
          <w:szCs w:val="28"/>
          <w:shd w:val="clear" w:fill="FFFFFF"/>
        </w:rPr>
        <w:t>一、部门主要职责</w:t>
      </w:r>
    </w:p>
    <w:p w14:paraId="2FE85627">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1、贯彻落实国家、省、市相关法律、法规、政策和区委、区政府的重大决策及工作部署，领导和组织辖区内各项工作，认真履行各项管理职能。</w:t>
      </w:r>
    </w:p>
    <w:p w14:paraId="6DEF28B4">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2、负责辖区党建和基层组织建设工作，加强社区党组织书记队伍，负责选配社区“两委班子”。</w:t>
      </w:r>
    </w:p>
    <w:p w14:paraId="4A839D61">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3、负责人民武装工作；负责辖区城市管理、房屋土地征收、公共服务、民政、司法、计划生育、人社等社会管理和服务工作，指导社区居民自治组织建设。</w:t>
      </w:r>
    </w:p>
    <w:p w14:paraId="2E8F6920">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4、负责辖区社会稳定，办理群众来信来访，开展人民调解和社区网格化管理。</w:t>
      </w:r>
    </w:p>
    <w:p w14:paraId="65AAA1D1">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5、监督辖区内社区资源、资产、资金的管理使用。建立健全社区财务管理制度，推进社区财务规范化管理。</w:t>
      </w:r>
    </w:p>
    <w:p w14:paraId="32270B42">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6、负责森林防火、防汛抗旱及安全生产工作。协助开展食品药品监管、公共卫生服务工作。</w:t>
      </w:r>
    </w:p>
    <w:p w14:paraId="423F2959">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7、负责协调辖区单位广泛参与社区建设及社会化管理工作，指导社区与辖区单位签订共驻共建协议，实现辖区单位与社区共驻共建、资源共享。</w:t>
      </w:r>
    </w:p>
    <w:p w14:paraId="24A31935">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8、指导社区整合各种资源，服务项目建设，协助城市建设；充分调动社区广大党员、群众的积极性，全面参与社区建设。</w:t>
      </w:r>
    </w:p>
    <w:p w14:paraId="64D5A02B">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9、完成上级交办的其他任务。</w:t>
      </w:r>
    </w:p>
    <w:p w14:paraId="5E9F208C">
      <w:pPr>
        <w:keepNext w:val="0"/>
        <w:keepLines w:val="0"/>
        <w:widowControl/>
        <w:suppressLineNumbers w:val="0"/>
        <w:ind w:left="0" w:firstLine="0"/>
        <w:jc w:val="left"/>
        <w:rPr>
          <w:rStyle w:val="4"/>
          <w:rFonts w:hint="eastAsia" w:asciiTheme="majorEastAsia" w:hAnsiTheme="majorEastAsia" w:eastAsiaTheme="majorEastAsia" w:cstheme="majorEastAsia"/>
          <w:i w:val="0"/>
          <w:iCs w:val="0"/>
          <w:caps w:val="0"/>
          <w:color w:val="222222"/>
          <w:spacing w:val="0"/>
          <w:sz w:val="28"/>
          <w:szCs w:val="28"/>
          <w:lang w:eastAsia="zh-CN"/>
        </w:rPr>
      </w:pPr>
      <w:r>
        <w:rPr>
          <w:rStyle w:val="4"/>
          <w:rFonts w:hint="eastAsia" w:asciiTheme="majorEastAsia" w:hAnsiTheme="majorEastAsia" w:eastAsiaTheme="majorEastAsia" w:cstheme="majorEastAsia"/>
          <w:i w:val="0"/>
          <w:iCs w:val="0"/>
          <w:caps w:val="0"/>
          <w:color w:val="222222"/>
          <w:spacing w:val="0"/>
          <w:sz w:val="28"/>
          <w:szCs w:val="28"/>
        </w:rPr>
        <w:t>二、部门机构设置情况</w:t>
      </w:r>
    </w:p>
    <w:p w14:paraId="13D18917">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1、机构设置情况：</w:t>
      </w:r>
    </w:p>
    <w:p w14:paraId="3C5138E1">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2021年7月，根据《黄石市下陆区机构改革方案》等文件精神，设立了新下陆街道党工委和街道办事处，街道党工委主要职责是抓党建、抓治理、抓服务。街道办事处负责本辖区公共管理、公共服务、公共安全等各项行政管理工作。根据有关法律、法规规定，街道主要履行下列职责：（1）加强基层党建。（2）统筹区域发展。（3）组织公共服务。（4）实施综合管理。（5）动员社会参与。（6）指导社区自治。（7）维护公共安全。（8）承担区委、区政府交办的其他工作。内设党政综合办公室（人大办公室）、政法办公室（应急办公室）、社会事务办公室（民政办公室）。下属事业单位：1、便民服务中心（综合文化站）。2、社会治安综合治理服务中心。3、城市治理服务中心。</w:t>
      </w:r>
    </w:p>
    <w:p w14:paraId="736272A1">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w:t>
      </w:r>
    </w:p>
    <w:p w14:paraId="48619C46">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2、编制情况：核定新下陆街道办事处行政编制11名、事业编制16名。设党政领导职数7名，设中心主任各1名（副科级）。现在新街办实有正式职工人数22人，其中：行编10人、事业编12人。退伍安置人员1人，临时聘用人员53人。</w:t>
      </w:r>
    </w:p>
    <w:p w14:paraId="79ACECE6">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4"/>
          <w:szCs w:val="24"/>
          <w:shd w:val="clear" w:fill="FFFFFF"/>
          <w:lang w:eastAsia="zh-CN"/>
        </w:rPr>
      </w:pPr>
      <w:r>
        <w:rPr>
          <w:rFonts w:hint="eastAsia" w:asciiTheme="minorEastAsia" w:hAnsiTheme="minorEastAsia" w:eastAsiaTheme="minorEastAsia" w:cstheme="minorEastAsia"/>
          <w:i w:val="0"/>
          <w:iCs w:val="0"/>
          <w:caps w:val="0"/>
          <w:color w:val="222222"/>
          <w:spacing w:val="0"/>
          <w:sz w:val="24"/>
          <w:szCs w:val="24"/>
          <w:shd w:val="clear" w:fill="FFFFFF"/>
        </w:rPr>
        <w:t> </w:t>
      </w:r>
    </w:p>
    <w:p w14:paraId="4FF88ACF">
      <w:pPr>
        <w:keepNext w:val="0"/>
        <w:keepLines w:val="0"/>
        <w:widowControl/>
        <w:suppressLineNumbers w:val="0"/>
        <w:ind w:left="0" w:firstLine="0"/>
        <w:jc w:val="left"/>
        <w:rPr>
          <w:rStyle w:val="4"/>
          <w:rFonts w:hint="eastAsia" w:asciiTheme="majorEastAsia" w:hAnsiTheme="majorEastAsia" w:eastAsiaTheme="majorEastAsia" w:cstheme="majorEastAsia"/>
          <w:i w:val="0"/>
          <w:iCs w:val="0"/>
          <w:caps w:val="0"/>
          <w:color w:val="222222"/>
          <w:spacing w:val="0"/>
          <w:sz w:val="28"/>
          <w:szCs w:val="28"/>
          <w:lang w:eastAsia="zh-CN"/>
        </w:rPr>
      </w:pPr>
      <w:r>
        <w:rPr>
          <w:rStyle w:val="4"/>
          <w:rFonts w:hint="eastAsia" w:asciiTheme="majorEastAsia" w:hAnsiTheme="majorEastAsia" w:eastAsiaTheme="majorEastAsia" w:cstheme="majorEastAsia"/>
          <w:i w:val="0"/>
          <w:iCs w:val="0"/>
          <w:caps w:val="0"/>
          <w:color w:val="222222"/>
          <w:spacing w:val="0"/>
          <w:sz w:val="28"/>
          <w:szCs w:val="28"/>
        </w:rPr>
        <w:t>第二部分: 部门2021年部门决算表</w:t>
      </w:r>
    </w:p>
    <w:p w14:paraId="30C49822">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7263BCF8">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1、收入支出决算总表</w:t>
      </w:r>
    </w:p>
    <w:p w14:paraId="3E41D5F8">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lang w:eastAsia="zh-CN"/>
        </w:rPr>
      </w:pPr>
      <w:r>
        <w:rPr>
          <w:rFonts w:hint="default" w:ascii="Arial" w:hAnsi="Arial" w:eastAsia="宋体" w:cs="Arial"/>
          <w:i w:val="0"/>
          <w:iCs w:val="0"/>
          <w:caps w:val="0"/>
          <w:color w:val="222222"/>
          <w:spacing w:val="0"/>
          <w:sz w:val="18"/>
          <w:szCs w:val="18"/>
        </w:rPr>
        <w:drawing>
          <wp:inline distT="0" distB="0" distL="114300" distR="114300">
            <wp:extent cx="5695950" cy="4597400"/>
            <wp:effectExtent l="0" t="0" r="0" b="1270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5"/>
                    <a:stretch>
                      <a:fillRect/>
                    </a:stretch>
                  </pic:blipFill>
                  <pic:spPr>
                    <a:xfrm>
                      <a:off x="0" y="0"/>
                      <a:ext cx="5695950" cy="4597400"/>
                    </a:xfrm>
                    <a:prstGeom prst="rect">
                      <a:avLst/>
                    </a:prstGeom>
                    <a:noFill/>
                    <a:ln w="9525">
                      <a:noFill/>
                    </a:ln>
                  </pic:spPr>
                </pic:pic>
              </a:graphicData>
            </a:graphic>
          </wp:inline>
        </w:drawing>
      </w:r>
    </w:p>
    <w:p w14:paraId="750A7D1A">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2、收入决算表</w:t>
      </w:r>
    </w:p>
    <w:p w14:paraId="74CBD8F1">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lang w:eastAsia="zh-CN"/>
        </w:rPr>
      </w:pPr>
      <w:r>
        <w:rPr>
          <w:rFonts w:hint="default" w:ascii="Arial" w:hAnsi="Arial" w:eastAsia="宋体" w:cs="Arial"/>
          <w:i w:val="0"/>
          <w:iCs w:val="0"/>
          <w:caps w:val="0"/>
          <w:color w:val="222222"/>
          <w:spacing w:val="0"/>
          <w:sz w:val="18"/>
          <w:szCs w:val="18"/>
        </w:rPr>
        <w:drawing>
          <wp:inline distT="0" distB="0" distL="114300" distR="114300">
            <wp:extent cx="5636260" cy="2632075"/>
            <wp:effectExtent l="0" t="0" r="2540" b="15875"/>
            <wp:docPr id="6"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IMG_257"/>
                    <pic:cNvPicPr>
                      <a:picLocks noChangeAspect="1"/>
                    </pic:cNvPicPr>
                  </pic:nvPicPr>
                  <pic:blipFill>
                    <a:blip r:embed="rId6"/>
                    <a:stretch>
                      <a:fillRect/>
                    </a:stretch>
                  </pic:blipFill>
                  <pic:spPr>
                    <a:xfrm>
                      <a:off x="0" y="0"/>
                      <a:ext cx="5636260" cy="2632075"/>
                    </a:xfrm>
                    <a:prstGeom prst="rect">
                      <a:avLst/>
                    </a:prstGeom>
                    <a:noFill/>
                    <a:ln w="9525">
                      <a:noFill/>
                    </a:ln>
                  </pic:spPr>
                </pic:pic>
              </a:graphicData>
            </a:graphic>
          </wp:inline>
        </w:drawing>
      </w:r>
    </w:p>
    <w:p w14:paraId="1AFF6A3A">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3、支出决算表</w:t>
      </w:r>
    </w:p>
    <w:p w14:paraId="12EE851F">
      <w:pPr>
        <w:keepNext w:val="0"/>
        <w:keepLines w:val="0"/>
        <w:widowControl/>
        <w:suppressLineNumbers w:val="0"/>
        <w:ind w:left="0" w:firstLine="0"/>
        <w:jc w:val="left"/>
        <w:rPr>
          <w:rFonts w:hint="eastAsia" w:ascii="Arial" w:hAnsi="Arial" w:eastAsia="宋体" w:cs="Arial"/>
          <w:i w:val="0"/>
          <w:iCs w:val="0"/>
          <w:caps w:val="0"/>
          <w:color w:val="222222"/>
          <w:spacing w:val="0"/>
          <w:sz w:val="18"/>
          <w:szCs w:val="18"/>
          <w:lang w:eastAsia="zh-CN"/>
        </w:rPr>
      </w:pPr>
      <w:r>
        <w:rPr>
          <w:rFonts w:hint="default" w:ascii="Arial" w:hAnsi="Arial" w:eastAsia="宋体" w:cs="Arial"/>
          <w:i w:val="0"/>
          <w:iCs w:val="0"/>
          <w:caps w:val="0"/>
          <w:color w:val="222222"/>
          <w:spacing w:val="0"/>
          <w:sz w:val="18"/>
          <w:szCs w:val="18"/>
        </w:rPr>
        <w:drawing>
          <wp:inline distT="0" distB="0" distL="114300" distR="114300">
            <wp:extent cx="5579110" cy="3025775"/>
            <wp:effectExtent l="0" t="0" r="2540" b="3175"/>
            <wp:docPr id="8"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descr="IMG_258"/>
                    <pic:cNvPicPr>
                      <a:picLocks noChangeAspect="1"/>
                    </pic:cNvPicPr>
                  </pic:nvPicPr>
                  <pic:blipFill>
                    <a:blip r:embed="rId7"/>
                    <a:stretch>
                      <a:fillRect/>
                    </a:stretch>
                  </pic:blipFill>
                  <pic:spPr>
                    <a:xfrm>
                      <a:off x="0" y="0"/>
                      <a:ext cx="5579110" cy="3025775"/>
                    </a:xfrm>
                    <a:prstGeom prst="rect">
                      <a:avLst/>
                    </a:prstGeom>
                    <a:noFill/>
                    <a:ln w="9525">
                      <a:noFill/>
                    </a:ln>
                  </pic:spPr>
                </pic:pic>
              </a:graphicData>
            </a:graphic>
          </wp:inline>
        </w:drawing>
      </w:r>
    </w:p>
    <w:p w14:paraId="19714C6A">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4、财政拨款收入支出决算总表</w:t>
      </w:r>
    </w:p>
    <w:p w14:paraId="57223566">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875655" cy="4399280"/>
            <wp:effectExtent l="0" t="0" r="10795" b="1270"/>
            <wp:docPr id="7"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 descr="IMG_259"/>
                    <pic:cNvPicPr>
                      <a:picLocks noChangeAspect="1"/>
                    </pic:cNvPicPr>
                  </pic:nvPicPr>
                  <pic:blipFill>
                    <a:blip r:embed="rId8"/>
                    <a:stretch>
                      <a:fillRect/>
                    </a:stretch>
                  </pic:blipFill>
                  <pic:spPr>
                    <a:xfrm>
                      <a:off x="0" y="0"/>
                      <a:ext cx="5875655" cy="4399280"/>
                    </a:xfrm>
                    <a:prstGeom prst="rect">
                      <a:avLst/>
                    </a:prstGeom>
                    <a:noFill/>
                    <a:ln w="9525">
                      <a:noFill/>
                    </a:ln>
                  </pic:spPr>
                </pic:pic>
              </a:graphicData>
            </a:graphic>
          </wp:inline>
        </w:drawing>
      </w:r>
    </w:p>
    <w:p w14:paraId="0769F5FA">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5、一般公共预算财政拨款支出决算表</w:t>
      </w:r>
    </w:p>
    <w:p w14:paraId="6D6AD9E8">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828030" cy="4162425"/>
            <wp:effectExtent l="0" t="0" r="1270" b="9525"/>
            <wp:docPr id="9"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IMG_260"/>
                    <pic:cNvPicPr>
                      <a:picLocks noChangeAspect="1"/>
                    </pic:cNvPicPr>
                  </pic:nvPicPr>
                  <pic:blipFill>
                    <a:blip r:embed="rId9"/>
                    <a:stretch>
                      <a:fillRect/>
                    </a:stretch>
                  </pic:blipFill>
                  <pic:spPr>
                    <a:xfrm>
                      <a:off x="0" y="0"/>
                      <a:ext cx="5828030" cy="4162425"/>
                    </a:xfrm>
                    <a:prstGeom prst="rect">
                      <a:avLst/>
                    </a:prstGeom>
                    <a:noFill/>
                    <a:ln w="9525">
                      <a:noFill/>
                    </a:ln>
                  </pic:spPr>
                </pic:pic>
              </a:graphicData>
            </a:graphic>
          </wp:inline>
        </w:drawing>
      </w:r>
    </w:p>
    <w:p w14:paraId="19F8DF82">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6、一般公共预算财政拨款基本支出决算表</w:t>
      </w:r>
    </w:p>
    <w:p w14:paraId="2CB021F0">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918200" cy="3519170"/>
            <wp:effectExtent l="0" t="0" r="6350" b="5080"/>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10"/>
                    <a:stretch>
                      <a:fillRect/>
                    </a:stretch>
                  </pic:blipFill>
                  <pic:spPr>
                    <a:xfrm>
                      <a:off x="0" y="0"/>
                      <a:ext cx="5918200" cy="3519170"/>
                    </a:xfrm>
                    <a:prstGeom prst="rect">
                      <a:avLst/>
                    </a:prstGeom>
                    <a:noFill/>
                    <a:ln w="9525">
                      <a:noFill/>
                    </a:ln>
                  </pic:spPr>
                </pic:pic>
              </a:graphicData>
            </a:graphic>
          </wp:inline>
        </w:drawing>
      </w:r>
    </w:p>
    <w:p w14:paraId="3F6CE62A">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7、财政拨款“三公”经费支出决算表</w:t>
      </w:r>
    </w:p>
    <w:p w14:paraId="17171B01">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lang w:eastAsia="zh-CN"/>
        </w:rPr>
      </w:pPr>
      <w:r>
        <w:rPr>
          <w:rFonts w:hint="eastAsia" w:asciiTheme="minorEastAsia" w:hAnsiTheme="minorEastAsia" w:eastAsiaTheme="minorEastAsia" w:cstheme="minorEastAsia"/>
          <w:i w:val="0"/>
          <w:iCs w:val="0"/>
          <w:caps w:val="0"/>
          <w:color w:val="222222"/>
          <w:spacing w:val="0"/>
          <w:sz w:val="28"/>
          <w:szCs w:val="28"/>
        </w:rPr>
        <w:drawing>
          <wp:inline distT="0" distB="0" distL="114300" distR="114300">
            <wp:extent cx="5873750" cy="1266825"/>
            <wp:effectExtent l="0" t="0" r="12700" b="9525"/>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1"/>
                    <a:stretch>
                      <a:fillRect/>
                    </a:stretch>
                  </pic:blipFill>
                  <pic:spPr>
                    <a:xfrm>
                      <a:off x="0" y="0"/>
                      <a:ext cx="5873750" cy="1266825"/>
                    </a:xfrm>
                    <a:prstGeom prst="rect">
                      <a:avLst/>
                    </a:prstGeom>
                    <a:noFill/>
                    <a:ln w="9525">
                      <a:noFill/>
                    </a:ln>
                  </pic:spPr>
                </pic:pic>
              </a:graphicData>
            </a:graphic>
          </wp:inline>
        </w:drawing>
      </w:r>
    </w:p>
    <w:p w14:paraId="13BC58E2">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8、政府性基金预算财政拨款收入支出决算表</w:t>
      </w:r>
      <w:r>
        <w:rPr>
          <w:rFonts w:hint="eastAsia" w:asciiTheme="minorEastAsia" w:hAnsiTheme="minorEastAsia" w:eastAsiaTheme="minorEastAsia" w:cstheme="minorEastAsia"/>
          <w:i w:val="0"/>
          <w:iCs w:val="0"/>
          <w:caps w:val="0"/>
          <w:color w:val="222222"/>
          <w:spacing w:val="0"/>
          <w:sz w:val="28"/>
          <w:szCs w:val="28"/>
          <w:shd w:val="clear" w:fill="FFFFFF"/>
        </w:rPr>
        <w:drawing>
          <wp:inline distT="0" distB="0" distL="114300" distR="114300">
            <wp:extent cx="5690235" cy="1325880"/>
            <wp:effectExtent l="0" t="0" r="5715" b="7620"/>
            <wp:docPr id="10" name="图片 10" descr="表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表8"/>
                    <pic:cNvPicPr>
                      <a:picLocks noChangeAspect="1"/>
                    </pic:cNvPicPr>
                  </pic:nvPicPr>
                  <pic:blipFill>
                    <a:blip r:embed="rId12"/>
                    <a:stretch>
                      <a:fillRect/>
                    </a:stretch>
                  </pic:blipFill>
                  <pic:spPr>
                    <a:xfrm>
                      <a:off x="0" y="0"/>
                      <a:ext cx="5690235" cy="1325880"/>
                    </a:xfrm>
                    <a:prstGeom prst="rect">
                      <a:avLst/>
                    </a:prstGeom>
                  </pic:spPr>
                </pic:pic>
              </a:graphicData>
            </a:graphic>
          </wp:inline>
        </w:drawing>
      </w:r>
    </w:p>
    <w:p w14:paraId="5579B69F">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rPr>
        <w:t>9、国有资本经营预算财政拨款支出决算表</w:t>
      </w:r>
    </w:p>
    <w:p w14:paraId="58F59518">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r>
        <w:rPr>
          <w:rFonts w:hint="eastAsia" w:asciiTheme="minorEastAsia" w:hAnsiTheme="minorEastAsia" w:eastAsiaTheme="minorEastAsia" w:cstheme="minorEastAsia"/>
          <w:i w:val="0"/>
          <w:iCs w:val="0"/>
          <w:caps w:val="0"/>
          <w:color w:val="222222"/>
          <w:spacing w:val="0"/>
          <w:sz w:val="28"/>
          <w:szCs w:val="28"/>
          <w:shd w:val="clear" w:fill="FFFFFF"/>
          <w:lang w:eastAsia="zh-CN"/>
        </w:rPr>
        <w:drawing>
          <wp:inline distT="0" distB="0" distL="114300" distR="114300">
            <wp:extent cx="5687695" cy="2369820"/>
            <wp:effectExtent l="0" t="0" r="8255" b="11430"/>
            <wp:docPr id="11" name="图片 11" descr="表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表9"/>
                    <pic:cNvPicPr>
                      <a:picLocks noChangeAspect="1"/>
                    </pic:cNvPicPr>
                  </pic:nvPicPr>
                  <pic:blipFill>
                    <a:blip r:embed="rId13"/>
                    <a:stretch>
                      <a:fillRect/>
                    </a:stretch>
                  </pic:blipFill>
                  <pic:spPr>
                    <a:xfrm>
                      <a:off x="0" y="0"/>
                      <a:ext cx="5687695" cy="2369820"/>
                    </a:xfrm>
                    <a:prstGeom prst="rect">
                      <a:avLst/>
                    </a:prstGeom>
                  </pic:spPr>
                </pic:pic>
              </a:graphicData>
            </a:graphic>
          </wp:inline>
        </w:drawing>
      </w:r>
    </w:p>
    <w:p w14:paraId="4AB7C689">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p>
    <w:p w14:paraId="423D1768">
      <w:pPr>
        <w:keepNext w:val="0"/>
        <w:keepLines w:val="0"/>
        <w:widowControl/>
        <w:suppressLineNumbers w:val="0"/>
        <w:ind w:left="0" w:firstLine="0"/>
        <w:jc w:val="left"/>
        <w:rPr>
          <w:rFonts w:hint="eastAsia" w:asciiTheme="minorEastAsia" w:hAnsiTheme="minorEastAsia" w:eastAsiaTheme="minorEastAsia" w:cstheme="minorEastAsia"/>
          <w:i w:val="0"/>
          <w:iCs w:val="0"/>
          <w:caps w:val="0"/>
          <w:color w:val="222222"/>
          <w:spacing w:val="0"/>
          <w:sz w:val="28"/>
          <w:szCs w:val="28"/>
          <w:shd w:val="clear" w:fill="FFFFFF"/>
          <w:lang w:eastAsia="zh-CN"/>
        </w:rPr>
      </w:pPr>
    </w:p>
    <w:p w14:paraId="42FC8FBC">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第三部分：部门2021年部门决算情况说明</w:t>
      </w:r>
    </w:p>
    <w:p w14:paraId="50F65BDA">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一、收支总体情况说明</w:t>
      </w:r>
    </w:p>
    <w:p w14:paraId="214FFA09">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度决算总收入合计4339.91万元，较2020年度决算总收入4465.71万元下降了125.8万元，2021年度决算总支出合计6922.25万元，较2020年度决算总支出1049.58万元增加了5872.67万元，原因是社会事务向基层转移社会事务专项工作经费增加。</w:t>
      </w:r>
    </w:p>
    <w:p w14:paraId="0C74C2DA">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14:paraId="37AFDDE7">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二、2021年度决算收入支出增减变化情况</w:t>
      </w:r>
    </w:p>
    <w:p w14:paraId="23DBB954">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度决算收入合计4339.91万元，其中：财政拨款收入4339.91万元，占总收入的100%，其他收入0万元，占总收入的0%。2021年决算收入较上年收入4465.71万元下降了125.8万元，降幅2.82%，原因是厉行节约减少办公经费支出。决算收入与年初预算数837.32万元相比增加3502.59万元，主要原因是住房保证支出未纳入年初预算支出内。</w:t>
      </w:r>
    </w:p>
    <w:p w14:paraId="2C82F5DE">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度支出6922.25万元，其中：基本支出1171.65万元，占总支出的16.92%；项目支出5210.60万元，占总支出的75.27%。今年总支出较上年总支出1,049.58万元增加了5,872.67万元，增幅559.52%，主要原因是社区工作经费在街办开支，增加了老旧小区改造专项资金支出。年底决算支出较年初预算支出837.32万元多6084.93万元，主要原因是住房保证支出未纳入年初预算支出内，社区工作经费在街办开支，增加了办公成本。</w:t>
      </w:r>
    </w:p>
    <w:p w14:paraId="4A24571F">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14:paraId="635B2440">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32"/>
          <w:szCs w:val="32"/>
          <w:lang w:eastAsia="zh-CN"/>
        </w:rPr>
      </w:pPr>
      <w:r>
        <w:rPr>
          <w:rFonts w:hint="eastAsia" w:ascii="宋体" w:hAnsi="宋体" w:eastAsia="宋体" w:cs="宋体"/>
          <w:i w:val="0"/>
          <w:iCs w:val="0"/>
          <w:caps w:val="0"/>
          <w:color w:val="222222"/>
          <w:spacing w:val="0"/>
          <w:sz w:val="32"/>
          <w:szCs w:val="32"/>
          <w:shd w:val="clear" w:fill="FFFFFF"/>
        </w:rPr>
        <w:t>三</w:t>
      </w:r>
      <w:r>
        <w:rPr>
          <w:rStyle w:val="4"/>
          <w:rFonts w:hint="eastAsia" w:ascii="宋体" w:hAnsi="宋体" w:eastAsia="宋体" w:cs="宋体"/>
          <w:i w:val="0"/>
          <w:iCs w:val="0"/>
          <w:caps w:val="0"/>
          <w:color w:val="222222"/>
          <w:spacing w:val="0"/>
          <w:sz w:val="32"/>
          <w:szCs w:val="32"/>
        </w:rPr>
        <w:t>、2021年财政拨款收入支出决算情况说明</w:t>
      </w:r>
    </w:p>
    <w:p w14:paraId="07F75C51">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财政拨款收入总计4,339.91万元，同比减幅2.82%，2021年财政拨款支出总计6,922.25万元，同比相比增幅559.52%。原因是社区工作经费在街办开支，增加了老旧小区改造专项资金支出。下陆区新下陆街道办事处2021年财政拨款收入总计4,339.91万元，财政拨款收入年初预算数为837.32万元，与2021年预算数相比增加3502.59万元,原因是住房保证支出未纳入年初预算支出内。</w:t>
      </w:r>
    </w:p>
    <w:p w14:paraId="2C916A0F">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14:paraId="236FBDB2">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32"/>
          <w:szCs w:val="32"/>
          <w:lang w:eastAsia="zh-CN"/>
        </w:rPr>
      </w:pPr>
      <w:r>
        <w:rPr>
          <w:rFonts w:hint="eastAsia" w:ascii="宋体" w:hAnsi="宋体" w:eastAsia="宋体" w:cs="宋体"/>
          <w:i w:val="0"/>
          <w:iCs w:val="0"/>
          <w:caps w:val="0"/>
          <w:color w:val="222222"/>
          <w:spacing w:val="0"/>
          <w:sz w:val="32"/>
          <w:szCs w:val="32"/>
          <w:shd w:val="clear" w:fill="FFFFFF"/>
        </w:rPr>
        <w:t>四</w:t>
      </w:r>
      <w:r>
        <w:rPr>
          <w:rStyle w:val="4"/>
          <w:rFonts w:hint="eastAsia" w:ascii="宋体" w:hAnsi="宋体" w:eastAsia="宋体" w:cs="宋体"/>
          <w:i w:val="0"/>
          <w:iCs w:val="0"/>
          <w:caps w:val="0"/>
          <w:color w:val="222222"/>
          <w:spacing w:val="0"/>
          <w:sz w:val="32"/>
          <w:szCs w:val="32"/>
        </w:rPr>
        <w:t>、2021年一般公共预算财政拨款支出决算情况说明</w:t>
      </w:r>
    </w:p>
    <w:p w14:paraId="7EC3D2D8">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一般公共预算财政拨款支出年末支出决算数为6922.25万元，与2021年预算数837.32万元相比增加6084.93万元,主要原因是住房保证支出未纳入年初预算支出内，社区工作经费在街办开支，增加了办公成本；较2020年决算数1043.04万元增加668.61万元，上涨64.1%，原因是社区工作经费在街办开支，增加了办公成本。</w:t>
      </w:r>
    </w:p>
    <w:p w14:paraId="4C2E3C5C">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按支出功能分类，一般公共服务支出737.25万元；城乡社区支出1666.09万元；住房保障支出4476.84万元；灾害防治及应急管理支出42.07万元。</w:t>
      </w:r>
    </w:p>
    <w:p w14:paraId="70C727C1">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p>
    <w:p w14:paraId="370C3A7B">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五</w:t>
      </w:r>
      <w:r>
        <w:rPr>
          <w:rStyle w:val="4"/>
          <w:rFonts w:hint="eastAsia" w:ascii="宋体" w:hAnsi="宋体" w:eastAsia="宋体" w:cs="宋体"/>
          <w:i w:val="0"/>
          <w:iCs w:val="0"/>
          <w:caps w:val="0"/>
          <w:color w:val="222222"/>
          <w:spacing w:val="0"/>
          <w:sz w:val="28"/>
          <w:szCs w:val="28"/>
        </w:rPr>
        <w:t>、2021年一般公共预算财政拨款基本支出决算情况说明</w:t>
      </w:r>
    </w:p>
    <w:p w14:paraId="10D587A5">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下陆区新下陆街道办事处2021年一般公共预算财政拨款基本支出1711.65万元。其中：人员经费支出1396.23万元。人员经费主要包括：基本工资、津贴补贴、奖金、社会保险缴费、离退休费、医疗费、住房公积金、职业年金、机关事业单位养老保险等支出。日常公用经费支出315.42万元。日常公用经费主要包括：办公费、印刷费、水费、电费、邮电费、物业管理费、差旅费、维修（护）费、租赁费、会议费、培训费、公务接待费、劳务费、工会经费、福利费、公车运行维护费、其他交通费、其他商品和服务支出、办公设备购置等。主要原因是社区工作经费在街办开支，增加了老旧小区改造专项资金支出。</w:t>
      </w:r>
    </w:p>
    <w:p w14:paraId="658E1536">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基本支主要用于：</w:t>
      </w:r>
    </w:p>
    <w:p w14:paraId="613C8CB3">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（1）工资及福利支出1375.99万元，主要用于职工基本工资、津贴、补贴、奖金、社会保障缴费支出；</w:t>
      </w:r>
    </w:p>
    <w:p w14:paraId="221E4529">
      <w:pPr>
        <w:keepNext w:val="0"/>
        <w:keepLines w:val="0"/>
        <w:widowControl/>
        <w:suppressLineNumbers w:val="0"/>
        <w:ind w:left="0" w:firstLine="0"/>
        <w:jc w:val="left"/>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（2）商品及服务支出315.42万元，主要用于办公费用、印刷费、水电费、电话费、劳务费、工会福利费、燃油费、交通费、招待费、专项经费等支出；</w:t>
      </w:r>
    </w:p>
    <w:p w14:paraId="39F4E1C7">
      <w:pPr>
        <w:keepNext w:val="0"/>
        <w:keepLines w:val="0"/>
        <w:widowControl/>
        <w:suppressLineNumbers w:val="0"/>
        <w:ind w:left="0" w:firstLine="0"/>
        <w:jc w:val="left"/>
        <w:rPr>
          <w:rStyle w:val="4"/>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shd w:val="clear" w:fill="FFFFFF"/>
        </w:rPr>
        <w:t>（3）对个人和家庭的补助支出20.24万元；主要用于退休费等支出；</w:t>
      </w:r>
    </w:p>
    <w:p w14:paraId="4559EE56">
      <w:pPr>
        <w:numPr>
          <w:ilvl w:val="0"/>
          <w:numId w:val="0"/>
        </w:numPr>
        <w:rPr>
          <w:rFonts w:hint="eastAsia" w:ascii="宋体" w:hAnsi="宋体" w:eastAsia="宋体" w:cs="宋体"/>
          <w:i w:val="0"/>
          <w:iCs w:val="0"/>
          <w:caps w:val="0"/>
          <w:color w:val="222222"/>
          <w:spacing w:val="0"/>
          <w:sz w:val="28"/>
          <w:szCs w:val="28"/>
          <w:shd w:val="clear" w:fill="FFFFFF"/>
          <w:lang w:eastAsia="zh-CN"/>
        </w:rPr>
      </w:pPr>
    </w:p>
    <w:p w14:paraId="2CD80827">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六</w:t>
      </w:r>
      <w:r>
        <w:rPr>
          <w:rStyle w:val="4"/>
          <w:rFonts w:hint="eastAsia" w:ascii="宋体" w:hAnsi="宋体" w:eastAsia="宋体" w:cs="宋体"/>
          <w:i w:val="0"/>
          <w:iCs w:val="0"/>
          <w:caps w:val="0"/>
          <w:color w:val="222222"/>
          <w:spacing w:val="0"/>
          <w:sz w:val="28"/>
          <w:szCs w:val="28"/>
        </w:rPr>
        <w:t>、一般公共预算财政拨款“三公”经费支出决算情况说明</w:t>
      </w:r>
    </w:p>
    <w:p w14:paraId="36AAA551">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三公”经费支出2.56万元，较年初预算1.36万元增加1.2万元，系车辆运行维护费增加2.56万元，公务接待费减少1.36万元，车辆运行维护费增加原因是未将公务用车购置及运行维护费纳入年初预算，公务接待费减少是疫情原因部分业务未开展。较上年决算数4.59减少了2.03万元，原因是本年度较上年度厉行节约，公务用车及运行维护费减少。其中：</w:t>
      </w:r>
    </w:p>
    <w:p w14:paraId="5E58859B">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1.因公出国支出0万元，出国组数为0次，出国人数为0人，与年初预算数持平，原因是本年度无出国计划；与上年决算数持平，原因是上年度无出国计划。</w:t>
      </w:r>
    </w:p>
    <w:p w14:paraId="47738A91">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公务用车购置及运行维护费支出决算数为2.56万元，与2021年预算数0万元相比增加2.56万元，主要原因是未将公务用车购置及运行维护费纳入年初预算；与2020年支出决算数4.59万元，减少2.03万元，原因是本年度较上年度厉行节约，公务用车及运行维护费减少。其中：</w:t>
      </w:r>
    </w:p>
    <w:p w14:paraId="67E41A24">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1）公车购置费0万元，购买0辆，较年初预算持平，原因是本单位无公车购置计划；与上年决算数持平，原因是上年度也未购置车辆。截止2021年12月31日，本单位车辆保有量4辆，与年初预算数持平，与上年决算数持平，原因是21年未购置公车。</w:t>
      </w:r>
    </w:p>
    <w:p w14:paraId="37A166C1">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公务用车运行维护费2.56万元，与2021年预算0万元相比增加2.56万元，系车辆运行维护费增加2.56万元，原因是未将公务用车购置及运行维护费纳入年初预算；与2020年支出决算数4.59万元，减少2.03万元，原因是本年度较上年度厉行节约，公务用车及运行维护费减少。</w:t>
      </w:r>
    </w:p>
    <w:p w14:paraId="770C0885">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3.公务接待费0万元，较年初预算1.36万元减少1.36万元，原因是本年度因疫情原因未开展公务接待活动；较上年决算数减少1.36万元，原因是本年度因疫情原因未开展公务接待活动，导致未产生接待费用。</w:t>
      </w:r>
    </w:p>
    <w:p w14:paraId="00496597">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七</w:t>
      </w:r>
      <w:r>
        <w:rPr>
          <w:rStyle w:val="4"/>
          <w:rFonts w:hint="eastAsia" w:ascii="宋体" w:hAnsi="宋体" w:eastAsia="宋体" w:cs="宋体"/>
          <w:i w:val="0"/>
          <w:iCs w:val="0"/>
          <w:caps w:val="0"/>
          <w:color w:val="222222"/>
          <w:spacing w:val="0"/>
          <w:sz w:val="28"/>
          <w:szCs w:val="28"/>
        </w:rPr>
        <w:t>、机关运行经费执行情况说明</w:t>
      </w:r>
    </w:p>
    <w:p w14:paraId="0AC1CF8B">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机关运行经费315.42万元，与2021年预算60.49万元相比增加254.93万元，主要原因是社区工作经费在街办开支。与2020年决算数37.19万元相比增加了278.23万元，主要原因是社区工作经费在街办开支，而20年社区工作经费不在在街办开支。</w:t>
      </w:r>
    </w:p>
    <w:p w14:paraId="7042978E">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主要用于办公费314.22万元、电费0.89万、公车运行维护费0.32万元。</w:t>
      </w:r>
    </w:p>
    <w:p w14:paraId="569E8F73">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八</w:t>
      </w:r>
      <w:r>
        <w:rPr>
          <w:rStyle w:val="4"/>
          <w:rFonts w:hint="eastAsia" w:ascii="宋体" w:hAnsi="宋体" w:eastAsia="宋体" w:cs="宋体"/>
          <w:i w:val="0"/>
          <w:iCs w:val="0"/>
          <w:caps w:val="0"/>
          <w:color w:val="222222"/>
          <w:spacing w:val="0"/>
          <w:sz w:val="28"/>
          <w:szCs w:val="28"/>
        </w:rPr>
        <w:t>、政府采购执行情况说明</w:t>
      </w:r>
    </w:p>
    <w:p w14:paraId="7702B8B3">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我单位政府采购预算计划金额13,305.20万元，其中一般公共预算13,305.20万元，其他资金0万元；主要用于购买货物类28.2万元、工程类13241万元、服务类36万元。政府采购授予中小企业合同总额13,305.20万元，占政府采购合同总额的100%；其中：授予小微企业合同金额13,305.20万元，占政府采购支出总额的100%。</w:t>
      </w:r>
    </w:p>
    <w:p w14:paraId="5EB28C9E">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我单位政府实际采购金额2,854.89万元，其中一般公共预算2,854.89万元，其他资金0万元；主要用于购买货物类29.12万元、工程类2,814.98万元、服务类10.80万元。2021年政府采购授予中小企业合同总额2,854.89万元，占政府采购合同总额的100%；其中：授予小微企业合同金额2,854.89万元，占政府采购支出总额的100%。</w:t>
      </w:r>
    </w:p>
    <w:p w14:paraId="24110753">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政府采购支出总额比2020年度16.81万元增加2838.08万元，增幅16883.28%，主要原因去年老旧小区改造工程实施。</w:t>
      </w:r>
    </w:p>
    <w:p w14:paraId="1BB5FC96">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九</w:t>
      </w:r>
      <w:r>
        <w:rPr>
          <w:rStyle w:val="4"/>
          <w:rFonts w:hint="eastAsia" w:ascii="宋体" w:hAnsi="宋体" w:eastAsia="宋体" w:cs="宋体"/>
          <w:i w:val="0"/>
          <w:iCs w:val="0"/>
          <w:caps w:val="0"/>
          <w:color w:val="222222"/>
          <w:spacing w:val="0"/>
          <w:sz w:val="28"/>
          <w:szCs w:val="28"/>
        </w:rPr>
        <w:t>、国有资产占用情况说明</w:t>
      </w:r>
    </w:p>
    <w:p w14:paraId="0204C36A">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2021年度我单位共占有车辆数4台，其中：机要通信用车1台，应急保障用车0台，执法执勤用车3台，特种专用技术用车0台，其他用车2台；单价50万元以上通用设备0台；单价100万元以上专用设备0台。</w:t>
      </w:r>
    </w:p>
    <w:p w14:paraId="63810C99">
      <w:pPr>
        <w:numPr>
          <w:ilvl w:val="0"/>
          <w:numId w:val="0"/>
        </w:numPr>
        <w:rPr>
          <w:rStyle w:val="4"/>
          <w:rFonts w:hint="eastAsia" w:ascii="宋体" w:hAnsi="宋体" w:eastAsia="宋体" w:cs="宋体"/>
          <w:i w:val="0"/>
          <w:iCs w:val="0"/>
          <w:caps w:val="0"/>
          <w:color w:val="222222"/>
          <w:spacing w:val="0"/>
          <w:sz w:val="28"/>
          <w:szCs w:val="28"/>
          <w:lang w:eastAsia="zh-CN"/>
        </w:rPr>
      </w:pPr>
      <w:r>
        <w:rPr>
          <w:rFonts w:hint="eastAsia" w:ascii="宋体" w:hAnsi="宋体" w:eastAsia="宋体" w:cs="宋体"/>
          <w:i w:val="0"/>
          <w:iCs w:val="0"/>
          <w:caps w:val="0"/>
          <w:color w:val="222222"/>
          <w:spacing w:val="0"/>
          <w:sz w:val="28"/>
          <w:szCs w:val="28"/>
          <w:shd w:val="clear" w:fill="FFFFFF"/>
        </w:rPr>
        <w:t>十、</w:t>
      </w:r>
      <w:r>
        <w:rPr>
          <w:rStyle w:val="4"/>
          <w:rFonts w:hint="eastAsia" w:ascii="宋体" w:hAnsi="宋体" w:eastAsia="宋体" w:cs="宋体"/>
          <w:i w:val="0"/>
          <w:iCs w:val="0"/>
          <w:caps w:val="0"/>
          <w:color w:val="222222"/>
          <w:spacing w:val="0"/>
          <w:sz w:val="28"/>
          <w:szCs w:val="28"/>
        </w:rPr>
        <w:t>其他情况</w:t>
      </w:r>
    </w:p>
    <w:p w14:paraId="6C2A01A5">
      <w:pPr>
        <w:numPr>
          <w:ilvl w:val="0"/>
          <w:numId w:val="0"/>
        </w:numPr>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i w:val="0"/>
          <w:iCs w:val="0"/>
          <w:caps w:val="0"/>
          <w:color w:val="222222"/>
          <w:spacing w:val="0"/>
          <w:sz w:val="24"/>
          <w:szCs w:val="24"/>
          <w:shd w:val="clear" w:fill="FFFFFF"/>
        </w:rPr>
        <w:t>我单位无举借政府债务情况、无扶贫专项资金情况、无政府性基金预算收支情况、无财政专项支出情况、无专项转移支付情况。</w:t>
      </w:r>
    </w:p>
    <w:p w14:paraId="6F7C1AF5">
      <w:pPr>
        <w:numPr>
          <w:ilvl w:val="0"/>
          <w:numId w:val="0"/>
        </w:numPr>
        <w:rPr>
          <w:rStyle w:val="4"/>
          <w:rFonts w:hint="default" w:ascii="Arial" w:hAnsi="Arial" w:eastAsia="宋体" w:cs="Arial"/>
          <w:i w:val="0"/>
          <w:iCs w:val="0"/>
          <w:caps w:val="0"/>
          <w:color w:val="222222"/>
          <w:spacing w:val="0"/>
          <w:sz w:val="28"/>
          <w:szCs w:val="28"/>
        </w:rPr>
      </w:pPr>
      <w:r>
        <w:rPr>
          <w:rFonts w:hint="default" w:ascii="Arial" w:hAnsi="Arial" w:eastAsia="宋体" w:cs="Arial"/>
          <w:i w:val="0"/>
          <w:iCs w:val="0"/>
          <w:caps w:val="0"/>
          <w:color w:val="222222"/>
          <w:spacing w:val="0"/>
          <w:sz w:val="28"/>
          <w:szCs w:val="28"/>
          <w:shd w:val="clear" w:fill="FFFFFF"/>
        </w:rPr>
        <w:t>十一、</w:t>
      </w:r>
      <w:r>
        <w:rPr>
          <w:rStyle w:val="4"/>
          <w:rFonts w:hint="default" w:ascii="Arial" w:hAnsi="Arial" w:eastAsia="宋体" w:cs="Arial"/>
          <w:i w:val="0"/>
          <w:iCs w:val="0"/>
          <w:caps w:val="0"/>
          <w:color w:val="222222"/>
          <w:spacing w:val="0"/>
          <w:sz w:val="28"/>
          <w:szCs w:val="28"/>
        </w:rPr>
        <w:t>预算绩效工作开展情况</w:t>
      </w:r>
    </w:p>
    <w:p w14:paraId="093F480A">
      <w:pPr>
        <w:widowControl/>
        <w:shd w:val="clear" w:color="auto" w:fill="FFFFFF"/>
        <w:spacing w:line="453" w:lineRule="atLeast"/>
        <w:ind w:firstLine="580" w:firstLineChars="200"/>
        <w:jc w:val="both"/>
        <w:rPr>
          <w:rFonts w:hint="eastAsia" w:ascii="Arial" w:hAnsi="Arial" w:eastAsia="宋体" w:cs="Arial"/>
          <w:b/>
          <w:bCs/>
          <w:color w:val="000000"/>
          <w:kern w:val="0"/>
          <w:sz w:val="28"/>
          <w:szCs w:val="28"/>
          <w:lang w:eastAsia="zh-CN"/>
        </w:rPr>
      </w:pPr>
      <w:r>
        <w:rPr>
          <w:rFonts w:hint="eastAsia" w:ascii="Arial" w:hAnsi="Arial" w:eastAsia="宋体" w:cs="Arial"/>
          <w:color w:val="000000"/>
          <w:kern w:val="0"/>
          <w:sz w:val="29"/>
          <w:szCs w:val="29"/>
          <w:lang w:val="en-US" w:eastAsia="zh-CN"/>
        </w:rPr>
        <w:t xml:space="preserve"> </w:t>
      </w:r>
      <w:r>
        <w:rPr>
          <w:rFonts w:ascii="Arial" w:hAnsi="Arial" w:eastAsia="宋体" w:cs="Arial"/>
          <w:b/>
          <w:bCs/>
          <w:color w:val="000000"/>
          <w:kern w:val="0"/>
          <w:sz w:val="28"/>
          <w:szCs w:val="28"/>
        </w:rPr>
        <w:t>（一）预算绩效管理工作开展情况</w:t>
      </w:r>
    </w:p>
    <w:p w14:paraId="60C6FB62">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i w:val="0"/>
          <w:iCs w:val="0"/>
          <w:caps w:val="0"/>
          <w:color w:val="222222"/>
          <w:spacing w:val="0"/>
          <w:sz w:val="24"/>
          <w:szCs w:val="24"/>
          <w:shd w:val="clear" w:fill="FFFFFF"/>
        </w:rPr>
        <w:t>根据预算绩效管理要求，我单位组织对2021年度一般公共预算项目支出全面开展绩效自评，共涉及项目1个，资金</w:t>
      </w:r>
      <w:r>
        <w:rPr>
          <w:rFonts w:hint="eastAsia" w:ascii="宋体" w:hAnsi="宋体" w:eastAsia="宋体" w:cs="宋体"/>
          <w:i w:val="0"/>
          <w:iCs w:val="0"/>
          <w:caps w:val="0"/>
          <w:color w:val="222222"/>
          <w:spacing w:val="0"/>
          <w:sz w:val="24"/>
          <w:szCs w:val="24"/>
          <w:shd w:val="clear" w:fill="FFFFFF"/>
          <w:lang w:val="en-US" w:eastAsia="zh-CN"/>
        </w:rPr>
        <w:t>200</w:t>
      </w:r>
      <w:r>
        <w:rPr>
          <w:rFonts w:hint="eastAsia" w:ascii="宋体" w:hAnsi="宋体" w:eastAsia="宋体" w:cs="宋体"/>
          <w:i w:val="0"/>
          <w:iCs w:val="0"/>
          <w:caps w:val="0"/>
          <w:color w:val="222222"/>
          <w:spacing w:val="0"/>
          <w:sz w:val="24"/>
          <w:szCs w:val="24"/>
          <w:shd w:val="clear" w:fill="FFFFFF"/>
        </w:rPr>
        <w:t>万元（其中：一般公共预算拨款</w:t>
      </w:r>
      <w:r>
        <w:rPr>
          <w:rFonts w:hint="eastAsia" w:ascii="宋体" w:hAnsi="宋体" w:eastAsia="宋体" w:cs="宋体"/>
          <w:i w:val="0"/>
          <w:iCs w:val="0"/>
          <w:caps w:val="0"/>
          <w:color w:val="222222"/>
          <w:spacing w:val="0"/>
          <w:sz w:val="24"/>
          <w:szCs w:val="24"/>
          <w:shd w:val="clear" w:fill="FFFFFF"/>
          <w:lang w:val="en-US" w:eastAsia="zh-CN"/>
        </w:rPr>
        <w:t>200</w:t>
      </w:r>
      <w:r>
        <w:rPr>
          <w:rFonts w:hint="eastAsia" w:ascii="宋体" w:hAnsi="宋体" w:eastAsia="宋体" w:cs="宋体"/>
          <w:i w:val="0"/>
          <w:iCs w:val="0"/>
          <w:caps w:val="0"/>
          <w:color w:val="222222"/>
          <w:spacing w:val="0"/>
          <w:sz w:val="24"/>
          <w:szCs w:val="24"/>
          <w:shd w:val="clear" w:fill="FFFFFF"/>
        </w:rPr>
        <w:t>万元，其他资金0万元，上年结余结转0万元），占一般公共预算项目支出总额的100%。从评价情况来看，2021年各项目绩效目标基本完成，项目立项程序完整、规范，绩效目标明确。预算编制合理，预算执行及时、有效；项目支出绩效自评结果较好，绩效管理水平不断提高，绩效指标体系建设逐渐丰富和完善。</w:t>
      </w:r>
    </w:p>
    <w:p w14:paraId="4D2B32D6">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eastAsia="zh-CN"/>
        </w:rPr>
      </w:pP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i w:val="0"/>
          <w:iCs w:val="0"/>
          <w:caps w:val="0"/>
          <w:color w:val="222222"/>
          <w:spacing w:val="0"/>
          <w:sz w:val="24"/>
          <w:szCs w:val="24"/>
          <w:shd w:val="clear" w:fill="FFFFFF"/>
        </w:rPr>
        <w:t>根据预算绩效管理的要求，一是认真组织开展项目支出绩效评价和部门整体支出绩效评价工作，并充分运用绩效评价结果，调整设置的指标体系和绩效目标，加快建立绩效导向的预算管理制度。二是在预算执行中，依据绩效目标对项目资金运行状况及绩效目标的预期实现程度开展了一次绩效监控，确保预算绩效目标的实现。三是在预</w:t>
      </w:r>
      <w:r>
        <w:rPr>
          <w:rFonts w:hint="eastAsia" w:ascii="宋体" w:hAnsi="宋体" w:eastAsia="宋体" w:cs="宋体"/>
          <w:i w:val="0"/>
          <w:iCs w:val="0"/>
          <w:caps w:val="0"/>
          <w:color w:val="222222"/>
          <w:spacing w:val="0"/>
          <w:sz w:val="24"/>
          <w:szCs w:val="24"/>
          <w:shd w:val="clear" w:fill="FFFFFF"/>
          <w:lang w:val="en-US" w:eastAsia="zh-CN"/>
        </w:rPr>
        <w:t>算编制中，认真梳理项目活动，依据项目活动明确项目绩效目标、量化关键绩效指标，将预算绩效评价结果作为预算安排的依据，提高预算绩效目标申报的及时性与规范性。四是完善绩效报告与公开制度，推动绩效信</w:t>
      </w:r>
      <w:r>
        <w:rPr>
          <w:rFonts w:hint="eastAsia" w:ascii="宋体" w:hAnsi="宋体" w:eastAsia="宋体" w:cs="宋体"/>
          <w:i w:val="0"/>
          <w:iCs w:val="0"/>
          <w:caps w:val="0"/>
          <w:color w:val="222222"/>
          <w:spacing w:val="0"/>
          <w:sz w:val="24"/>
          <w:szCs w:val="24"/>
          <w:shd w:val="clear" w:fill="FFFFFF"/>
        </w:rPr>
        <w:t>息公开，自觉接受社会监督。</w:t>
      </w:r>
    </w:p>
    <w:p w14:paraId="1B315E43">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我单位整体支出预算执行率为100%，执行情况良好，2021年部门整体支出绩效目标基本完成：</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6"/>
        <w:gridCol w:w="664"/>
        <w:gridCol w:w="662"/>
        <w:gridCol w:w="492"/>
        <w:gridCol w:w="1996"/>
        <w:gridCol w:w="2270"/>
        <w:gridCol w:w="933"/>
        <w:gridCol w:w="791"/>
        <w:gridCol w:w="802"/>
      </w:tblGrid>
      <w:tr w14:paraId="34FE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000" w:type="pct"/>
            <w:gridSpan w:val="9"/>
            <w:tcBorders>
              <w:top w:val="nil"/>
              <w:left w:val="nil"/>
              <w:bottom w:val="nil"/>
              <w:right w:val="nil"/>
            </w:tcBorders>
            <w:shd w:val="clear" w:color="auto" w:fill="auto"/>
            <w:vAlign w:val="center"/>
          </w:tcPr>
          <w:p w14:paraId="4A0BF0DD">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2021年下陆区部门整体支出绩效自评表</w:t>
            </w:r>
          </w:p>
        </w:tc>
      </w:tr>
      <w:tr w14:paraId="2A0D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FD978">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填报单位（盖章）：</w:t>
            </w:r>
          </w:p>
        </w:tc>
        <w:tc>
          <w:tcPr>
            <w:tcW w:w="171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67CD9D">
            <w:pPr>
              <w:jc w:val="center"/>
              <w:rPr>
                <w:rFonts w:hint="eastAsia" w:ascii="仿宋_GB2312" w:hAnsi="宋体" w:eastAsia="仿宋_GB2312" w:cs="仿宋_GB2312"/>
                <w:i w:val="0"/>
                <w:iCs w:val="0"/>
                <w:color w:val="000000"/>
                <w:sz w:val="20"/>
                <w:szCs w:val="20"/>
                <w:u w:val="none"/>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FE2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填报日期：2022.3.31</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D11D63">
            <w:pPr>
              <w:jc w:val="center"/>
              <w:rPr>
                <w:rFonts w:hint="eastAsia" w:ascii="仿宋_GB2312" w:hAnsi="宋体" w:eastAsia="仿宋_GB2312" w:cs="仿宋_GB2312"/>
                <w:i w:val="0"/>
                <w:iCs w:val="0"/>
                <w:color w:val="000000"/>
                <w:sz w:val="24"/>
                <w:szCs w:val="24"/>
                <w:u w:val="none"/>
              </w:rPr>
            </w:pPr>
          </w:p>
        </w:tc>
      </w:tr>
      <w:tr w14:paraId="3D3DA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F273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单位名称</w:t>
            </w:r>
          </w:p>
        </w:tc>
        <w:tc>
          <w:tcPr>
            <w:tcW w:w="29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558F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新下陆街道办事处</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67C2A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评价年度</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F86D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2021年</w:t>
            </w:r>
          </w:p>
        </w:tc>
      </w:tr>
      <w:tr w14:paraId="2C318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130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82F39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基本支出决算数总额</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DB46C5">
            <w:pPr>
              <w:rPr>
                <w:rFonts w:hint="eastAsia" w:ascii="仿宋_GB2312" w:hAnsi="宋体" w:eastAsia="仿宋_GB2312" w:cs="仿宋_GB2312"/>
                <w:i w:val="0"/>
                <w:iCs w:val="0"/>
                <w:color w:val="000000"/>
                <w:sz w:val="20"/>
                <w:szCs w:val="20"/>
                <w:u w:val="none"/>
              </w:rPr>
            </w:pP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4B9EB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项目支出决算数总额</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179255">
            <w:pPr>
              <w:jc w:val="center"/>
              <w:rPr>
                <w:rFonts w:hint="eastAsia" w:ascii="仿宋_GB2312" w:hAnsi="宋体" w:eastAsia="仿宋_GB2312" w:cs="仿宋_GB2312"/>
                <w:i w:val="0"/>
                <w:iCs w:val="0"/>
                <w:color w:val="000000"/>
                <w:sz w:val="20"/>
                <w:szCs w:val="20"/>
                <w:u w:val="none"/>
              </w:rPr>
            </w:pPr>
          </w:p>
        </w:tc>
      </w:tr>
      <w:tr w14:paraId="46ADAD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130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1487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BFDA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执行数（A）</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A86FC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预算数（B）</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2B5DF5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执行率（A/B）</w:t>
            </w:r>
          </w:p>
        </w:tc>
      </w:tr>
      <w:tr w14:paraId="2295E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30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27813">
            <w:pPr>
              <w:jc w:val="center"/>
              <w:rPr>
                <w:rFonts w:hint="eastAsia" w:ascii="仿宋_GB2312" w:hAnsi="宋体" w:eastAsia="仿宋_GB2312" w:cs="仿宋_GB2312"/>
                <w:i w:val="0"/>
                <w:iCs w:val="0"/>
                <w:color w:val="000000"/>
                <w:sz w:val="20"/>
                <w:szCs w:val="20"/>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42565">
            <w:pPr>
              <w:keepNext w:val="0"/>
              <w:keepLines w:val="0"/>
              <w:widowControl/>
              <w:suppressLineNumbers w:val="0"/>
              <w:jc w:val="left"/>
              <w:textAlignment w:val="center"/>
              <w:rPr>
                <w:rFonts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CA0D9">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837.32</w:t>
            </w:r>
            <w:r>
              <w:rPr>
                <w:rStyle w:val="5"/>
                <w:lang w:val="en-US" w:eastAsia="zh-CN" w:bidi="ar"/>
              </w:rPr>
              <w:t>万元</w:t>
            </w:r>
          </w:p>
        </w:tc>
        <w:tc>
          <w:tcPr>
            <w:tcW w:w="137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3ECA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826.71%</w:t>
            </w:r>
          </w:p>
        </w:tc>
      </w:tr>
      <w:tr w14:paraId="01A20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91551">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一级</w:t>
            </w:r>
          </w:p>
          <w:p w14:paraId="7BA99AA6">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6A91B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二级</w:t>
            </w:r>
          </w:p>
          <w:p w14:paraId="7C2A87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2F7A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C1CA4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78E2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指标说明</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F6FDF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评分标准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3A56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年初目标值</w:t>
            </w:r>
          </w:p>
        </w:tc>
        <w:tc>
          <w:tcPr>
            <w:tcW w:w="4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D4612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实际完成值</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0D723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14:paraId="4F833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2F175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82D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预算执行（35分）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C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w:t>
            </w:r>
          </w:p>
          <w:p w14:paraId="5753A95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完成率</w:t>
            </w:r>
          </w:p>
          <w:p w14:paraId="4B32FE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F099A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6E3F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预算完成率=（预算完成数/预算数）×100%，用以反映和考核部门（单位）预算完成程度。</w:t>
            </w:r>
          </w:p>
          <w:p w14:paraId="54E415B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预算完成数：部门（单位）本年度实际完成的预算数。</w:t>
            </w:r>
          </w:p>
          <w:p w14:paraId="5B0673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预算数：财政部门批复的本年度部门（单位）预算数。</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C3360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预算完成率＝100%的，得10分。</w:t>
            </w:r>
          </w:p>
          <w:p w14:paraId="5002DF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预算完成率≥95%的，得9分。</w:t>
            </w:r>
          </w:p>
          <w:p w14:paraId="413C351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预算完成率在90%（含）和95%之间，得8分。</w:t>
            </w:r>
          </w:p>
          <w:p w14:paraId="451DCDB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预算完成率在85%（含）和90%之间，得7分。</w:t>
            </w:r>
          </w:p>
          <w:p w14:paraId="4E629BE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预算完成率在80%（含）和85%之间，得6分。</w:t>
            </w:r>
          </w:p>
          <w:p w14:paraId="601CE42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预算完成率在70%（含）和80%之间，得4分。</w:t>
            </w:r>
          </w:p>
          <w:p w14:paraId="2F4B0D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预算完成率＜70%的，得0分。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4E5610">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4BC4E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837.32万元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20D6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318D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194C1D7">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49A00">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5133C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预算调整率</w:t>
            </w:r>
          </w:p>
          <w:p w14:paraId="22E890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F6F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D0F40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预算调整率=（预算调整数/预算数）×100%，用以反映和考核部门（单位）预算的调整程度。</w:t>
            </w:r>
          </w:p>
          <w:p w14:paraId="2B85BFD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p>
          <w:p w14:paraId="43D683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预算包括一般公共预算与政府性基金预算。</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C081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预算调整率绝对值≤5%，得10分。</w:t>
            </w:r>
          </w:p>
          <w:p w14:paraId="25E05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预算调整率绝对值＞5%的，每增加0.1个百分点扣0.1分，扣完为止。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599BFF">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3ACC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837.32万元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592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r>
      <w:tr w14:paraId="41951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8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8207FB2">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307AB3">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04E4D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支出进度率</w:t>
            </w:r>
          </w:p>
          <w:p w14:paraId="5B66F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1AF9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nil"/>
              <w:left w:val="single" w:color="000000" w:sz="4" w:space="0"/>
              <w:bottom w:val="single" w:color="000000" w:sz="4" w:space="0"/>
              <w:right w:val="single" w:color="000000" w:sz="4" w:space="0"/>
            </w:tcBorders>
            <w:shd w:val="clear" w:color="auto" w:fill="auto"/>
            <w:vAlign w:val="center"/>
          </w:tcPr>
          <w:p w14:paraId="1C7CE38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支出进度率=（实际支出/支出预算）×100%，用以反映和考核部门（单位）预算执行的及时性和均衡性程度。</w:t>
            </w:r>
          </w:p>
          <w:p w14:paraId="0FE5BD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半年支出进度＝部门上半年实际支出/（上年结余结转+本年部门预算安排+上半年执行中追加追减）*100%。</w:t>
            </w:r>
          </w:p>
          <w:p w14:paraId="01D801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1235" w:type="pct"/>
            <w:tcBorders>
              <w:top w:val="nil"/>
              <w:left w:val="single" w:color="000000" w:sz="4" w:space="0"/>
              <w:bottom w:val="single" w:color="000000" w:sz="4" w:space="0"/>
              <w:right w:val="single" w:color="000000" w:sz="4" w:space="0"/>
            </w:tcBorders>
            <w:shd w:val="clear" w:color="auto" w:fill="auto"/>
            <w:vAlign w:val="center"/>
          </w:tcPr>
          <w:p w14:paraId="50531B7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半年进度：进度率≥45%，得4分；进度率在40%（含）和45%之间，得2分；进度率＜40%，得0分。</w:t>
            </w:r>
          </w:p>
          <w:p w14:paraId="047EC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前三季度进度：进度率≥75%，得6分；进度率在60%（含）和75%之间，得4分；进度率＜60%，得0分。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E307C2">
            <w:pPr>
              <w:keepNext w:val="0"/>
              <w:keepLines w:val="0"/>
              <w:widowControl/>
              <w:suppressLineNumbers w:val="0"/>
              <w:jc w:val="left"/>
              <w:textAlignment w:val="center"/>
              <w:rPr>
                <w:rFonts w:hint="default" w:ascii="Arial" w:hAnsi="Arial" w:eastAsia="宋体" w:cs="Arial"/>
                <w:i w:val="0"/>
                <w:iCs w:val="0"/>
                <w:color w:val="222222"/>
                <w:sz w:val="18"/>
                <w:szCs w:val="18"/>
                <w:u w:val="none"/>
              </w:rPr>
            </w:pPr>
            <w:r>
              <w:rPr>
                <w:rFonts w:hint="default" w:ascii="Arial" w:hAnsi="Arial" w:eastAsia="宋体" w:cs="Arial"/>
                <w:i w:val="0"/>
                <w:iCs w:val="0"/>
                <w:color w:val="222222"/>
                <w:kern w:val="0"/>
                <w:sz w:val="18"/>
                <w:szCs w:val="18"/>
                <w:u w:val="none"/>
                <w:lang w:val="en-US" w:eastAsia="zh-CN" w:bidi="ar"/>
              </w:rPr>
              <w:t>6922.25</w:t>
            </w:r>
            <w:r>
              <w:rPr>
                <w:rStyle w:val="5"/>
                <w:lang w:val="en-US" w:eastAsia="zh-CN" w:bidi="ar"/>
              </w:rPr>
              <w:t>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D47D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837.32万元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3D9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4BBC8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46D10F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投入</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67C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预算执行（35分）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8D9E7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B2F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7884E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部门预算中除财政拨款外的其他收入预算与决算差异率。</w:t>
            </w:r>
          </w:p>
          <w:p w14:paraId="6134A0F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预算编制准确率＝其他收入决算数/其他收入预算数×100%-100%。</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5DFDD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预算编制准确率≤20%，得5分。</w:t>
            </w:r>
          </w:p>
          <w:p w14:paraId="002923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预算编制准确率在20%和40%（含）之间，得3分。</w:t>
            </w:r>
          </w:p>
          <w:p w14:paraId="2D67C6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预算编制准确率＞40%，得0分。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1F7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1254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1955D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94B6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2F1A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过程</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3B93A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预算管理（20分）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A98B4F">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“三公”经费控制率</w:t>
            </w:r>
          </w:p>
          <w:p w14:paraId="21D95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9593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D274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“三公”经费控制率=（“三公”经费实际支出数/“三公”经费预算安排数）×100%，用以反映和考核部门（单位）对“三公”经费</w:t>
            </w:r>
            <w:bookmarkStart w:id="0" w:name="_GoBack"/>
            <w:bookmarkEnd w:id="0"/>
            <w:r>
              <w:rPr>
                <w:rFonts w:hint="eastAsia" w:ascii="宋体" w:hAnsi="宋体" w:eastAsia="宋体" w:cs="宋体"/>
                <w:i w:val="0"/>
                <w:iCs w:val="0"/>
                <w:color w:val="000000"/>
                <w:kern w:val="0"/>
                <w:sz w:val="20"/>
                <w:szCs w:val="20"/>
                <w:u w:val="none"/>
                <w:lang w:val="en-US" w:eastAsia="zh-CN" w:bidi="ar"/>
              </w:rPr>
              <w:t>的实际控制程度。</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44E4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三公经费控制率 ≤100%，得5分，每增加0.1个百分点扣0.5分，扣完为止。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6CAC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2.56万元</w:t>
            </w: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BAF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1.36万元</w:t>
            </w: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D46A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69A47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C273C82">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6C38A">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54883C">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资产管理规范性</w:t>
            </w:r>
          </w:p>
          <w:p w14:paraId="66888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A100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6FFE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部门（单位）资产管理是否规范，用以反映和考核部门（单位）资产管理情况。</w:t>
            </w:r>
          </w:p>
          <w:p w14:paraId="7EDDA1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1.新增资产配置按预算执行。</w:t>
            </w:r>
          </w:p>
          <w:p w14:paraId="76970B1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2.资产有偿使用、处置按规定程序审批。</w:t>
            </w:r>
          </w:p>
          <w:p w14:paraId="0BB781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3.资产收益及时、足额上缴财政。</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921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全部符合5分，有1项不符扣2分,扣完为止。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82C08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45D41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C89C4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33A4F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08577783">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92D6C">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15470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资金使用合规性</w:t>
            </w:r>
          </w:p>
          <w:p w14:paraId="790AE5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（10分）</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BA18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4670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p>
          <w:p w14:paraId="5004A42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1.符合国家财经法规和财务管理制度规定以及有关专项资金管理办法的规定；</w:t>
            </w:r>
          </w:p>
          <w:p w14:paraId="4FEB5F8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2.资金的拨付有完整的审批程序和手续；</w:t>
            </w:r>
          </w:p>
          <w:p w14:paraId="5C5F511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3.重大项目开支经过评估论证；</w:t>
            </w:r>
          </w:p>
          <w:p w14:paraId="587CB6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4.符合部门预算批复的用途；</w:t>
            </w:r>
          </w:p>
          <w:p w14:paraId="2A0254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5.不存在截留、挤占、挪用、虚列支出等情况。</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847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全部符合10分,有1项不符扣2分，扣完为止。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E4592B">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A36E9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377607">
            <w:pP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10</w:t>
            </w:r>
          </w:p>
        </w:tc>
      </w:tr>
      <w:tr w14:paraId="7026F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80" w:hRule="atLeast"/>
        </w:trPr>
        <w:tc>
          <w:tcPr>
            <w:tcW w:w="30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5E1AC5">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2A2226B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36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9CA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运行效益（45分）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8A62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行政运行经济性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F482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3973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现行行政运行经费支出预算编制方法的行政运行成本。</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128D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可使行政运行成本最经济为5分，可使行政运行成本较合理为3分，一般为2分，不合理为0分。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B4FB5F">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373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8983D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4149F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18EABF">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60B4B3">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C49F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行政运行有效性</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6C11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21FC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行政运行经费支出能否保障部门正常运行。</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03B2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正常运行的得5分，基本正常得3分，不能正常运行的不得分。</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A77BD2">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D60B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0E4B6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68741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1269D">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293F59">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BAE5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专项运行经济效益</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F26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AA65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项目资金运行产生的经济效益</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51F1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经济效益显著得10分；一般得5分，下降不得分。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F7F0D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A2E3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0A33B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26F95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60" w:hRule="atLeast"/>
        </w:trPr>
        <w:tc>
          <w:tcPr>
            <w:tcW w:w="30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CA5559">
            <w:pPr>
              <w:jc w:val="center"/>
              <w:rPr>
                <w:rFonts w:hint="eastAsia" w:ascii="宋体" w:hAnsi="宋体" w:eastAsia="宋体" w:cs="宋体"/>
                <w:i w:val="0"/>
                <w:iCs w:val="0"/>
                <w:color w:val="000000"/>
                <w:sz w:val="20"/>
                <w:szCs w:val="20"/>
                <w:u w:val="none"/>
              </w:rPr>
            </w:pPr>
          </w:p>
        </w:tc>
        <w:tc>
          <w:tcPr>
            <w:tcW w:w="36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30989B">
            <w:pPr>
              <w:jc w:val="center"/>
              <w:rPr>
                <w:rFonts w:hint="eastAsia" w:ascii="宋体" w:hAnsi="宋体" w:eastAsia="宋体" w:cs="宋体"/>
                <w:i w:val="0"/>
                <w:iCs w:val="0"/>
                <w:color w:val="000000"/>
                <w:sz w:val="20"/>
                <w:szCs w:val="20"/>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7F85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专项运行社会效益</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433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A09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项目资金运行产生的社会效益</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38D8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社会效益显著得10分；一般得5分；否则不得分。</w:t>
            </w:r>
          </w:p>
        </w:tc>
        <w:tc>
          <w:tcPr>
            <w:tcW w:w="50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94BF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75995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DE27D6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r>
      <w:tr w14:paraId="54346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80" w:hRule="atLeast"/>
        </w:trPr>
        <w:tc>
          <w:tcPr>
            <w:tcW w:w="3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FF367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效</w:t>
            </w:r>
          </w:p>
          <w:p w14:paraId="038A8E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果</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5F13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运行效益（45分）</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873C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专项运行可持续影响</w:t>
            </w:r>
          </w:p>
        </w:tc>
        <w:tc>
          <w:tcPr>
            <w:tcW w:w="2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E2F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A35AF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1.项目完成后有经费安排能满足项目持续运行需要；</w:t>
            </w:r>
          </w:p>
          <w:p w14:paraId="64D9377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2.项目完成后有制度保障项目持续运行需要；</w:t>
            </w:r>
          </w:p>
          <w:p w14:paraId="2CF22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3.项目完成后有明确的项目管理机构、负责人对项目后继管理负责，满足持续运行需要。</w:t>
            </w:r>
          </w:p>
        </w:tc>
        <w:tc>
          <w:tcPr>
            <w:tcW w:w="12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486A4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全部符合15分,有1项不符扣5分，扣完为止。</w:t>
            </w:r>
          </w:p>
        </w:tc>
        <w:tc>
          <w:tcPr>
            <w:tcW w:w="50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8E7296">
            <w:pPr>
              <w:keepNext w:val="0"/>
              <w:keepLines w:val="0"/>
              <w:widowControl/>
              <w:suppressLineNumbers w:val="0"/>
              <w:jc w:val="left"/>
              <w:textAlignment w:val="center"/>
              <w:rPr>
                <w:rFonts w:hint="default" w:ascii="Arial" w:hAnsi="Arial" w:eastAsia="宋体" w:cs="Arial"/>
                <w:i w:val="0"/>
                <w:iCs w:val="0"/>
                <w:color w:val="222222"/>
                <w:sz w:val="18"/>
                <w:szCs w:val="18"/>
                <w:u w:val="none"/>
              </w:rPr>
            </w:pPr>
          </w:p>
        </w:tc>
        <w:tc>
          <w:tcPr>
            <w:tcW w:w="431"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FBE95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0E81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15</w:t>
            </w:r>
          </w:p>
        </w:tc>
      </w:tr>
      <w:tr w14:paraId="629CF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3624"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521BBB5">
            <w:pPr>
              <w:keepNext w:val="0"/>
              <w:keepLines w:val="0"/>
              <w:widowControl/>
              <w:suppressLineNumbers w:val="0"/>
              <w:jc w:val="left"/>
              <w:textAlignment w:val="center"/>
              <w:rPr>
                <w:rFonts w:hint="default" w:ascii="宋体" w:hAnsi="宋体" w:eastAsia="宋体" w:cs="宋体"/>
                <w:b/>
                <w:bCs/>
                <w:i w:val="0"/>
                <w:iCs w:val="0"/>
                <w:color w:val="000000"/>
                <w:sz w:val="20"/>
                <w:szCs w:val="20"/>
                <w:u w:val="none"/>
                <w:lang w:val="en-US"/>
              </w:rPr>
            </w:pPr>
            <w:r>
              <w:rPr>
                <w:rFonts w:hint="eastAsia" w:ascii="宋体" w:hAnsi="宋体" w:eastAsia="宋体" w:cs="宋体"/>
                <w:b/>
                <w:bCs/>
                <w:i w:val="0"/>
                <w:iCs w:val="0"/>
                <w:color w:val="000000"/>
                <w:kern w:val="0"/>
                <w:sz w:val="20"/>
                <w:szCs w:val="20"/>
                <w:u w:val="none"/>
                <w:lang w:val="en-US" w:eastAsia="zh-CN" w:bidi="ar"/>
              </w:rPr>
              <w:t>评价结论（优、良、中、差）：优</w:t>
            </w:r>
          </w:p>
        </w:tc>
        <w:tc>
          <w:tcPr>
            <w:tcW w:w="93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732E5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D3525A">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90</w:t>
            </w:r>
          </w:p>
        </w:tc>
      </w:tr>
    </w:tbl>
    <w:p w14:paraId="3943CE9C">
      <w:pPr>
        <w:widowControl/>
        <w:numPr>
          <w:ilvl w:val="0"/>
          <w:numId w:val="1"/>
        </w:numPr>
        <w:shd w:val="clear" w:color="auto" w:fill="FFFFFF"/>
        <w:spacing w:line="453" w:lineRule="atLeast"/>
        <w:ind w:firstLine="582" w:firstLineChars="200"/>
        <w:jc w:val="both"/>
        <w:rPr>
          <w:rFonts w:ascii="Arial" w:hAnsi="Arial" w:eastAsia="宋体" w:cs="Arial"/>
          <w:color w:val="000000"/>
          <w:kern w:val="0"/>
          <w:sz w:val="29"/>
          <w:szCs w:val="29"/>
        </w:rPr>
      </w:pPr>
      <w:r>
        <w:rPr>
          <w:rFonts w:ascii="Arial" w:hAnsi="Arial" w:eastAsia="宋体" w:cs="Arial"/>
          <w:b/>
          <w:bCs/>
          <w:color w:val="000000"/>
          <w:kern w:val="0"/>
          <w:sz w:val="29"/>
        </w:rPr>
        <w:t>部门决算中项目绩效自评结果</w:t>
      </w:r>
    </w:p>
    <w:p w14:paraId="3619E82B">
      <w:pPr>
        <w:widowControl/>
        <w:shd w:val="clear" w:color="auto" w:fill="FFFFFF"/>
        <w:spacing w:line="453" w:lineRule="atLeast"/>
        <w:ind w:firstLine="5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Arial" w:hAnsi="Arial" w:eastAsia="宋体" w:cs="Arial"/>
          <w:b w:val="0"/>
          <w:bCs w:val="0"/>
          <w:color w:val="000000"/>
          <w:kern w:val="0"/>
          <w:sz w:val="29"/>
          <w:szCs w:val="29"/>
          <w:lang w:val="en-US" w:eastAsia="zh-CN"/>
        </w:rPr>
        <w:t xml:space="preserve">  </w:t>
      </w:r>
      <w:r>
        <w:rPr>
          <w:rFonts w:hint="eastAsia" w:ascii="宋体" w:hAnsi="宋体" w:eastAsia="宋体" w:cs="宋体"/>
          <w:i w:val="0"/>
          <w:iCs w:val="0"/>
          <w:caps w:val="0"/>
          <w:color w:val="222222"/>
          <w:spacing w:val="0"/>
          <w:sz w:val="24"/>
          <w:szCs w:val="24"/>
          <w:shd w:val="clear" w:fill="FFFFFF"/>
          <w:lang w:val="en-US" w:eastAsia="zh-CN"/>
        </w:rPr>
        <w:t>1.社会事务专项经费经费绩效自评：</w:t>
      </w:r>
    </w:p>
    <w:p w14:paraId="173C5835">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项目全年预算数为200万元，其中：一般公共预算财政拨款200万元。执行数为200万元，完成预算100%。</w:t>
      </w:r>
    </w:p>
    <w:p w14:paraId="7177F4DD">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主要产出和效益：1.促进辖区经济增长和基础建设；2.维护辖区信访工作稳定率；3.保证辖区内环境环境卫生；4.优化辖区营商环境。</w:t>
      </w:r>
    </w:p>
    <w:p w14:paraId="7958FAA7">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产出指标：群众满意度90%。</w:t>
      </w:r>
    </w:p>
    <w:p w14:paraId="06F5DB30">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下一步改进措施：结合以往年度实际情况，科学测算相关工作经费预算，进一步提高预算编制的准确性。</w:t>
      </w:r>
    </w:p>
    <w:tbl>
      <w:tblPr>
        <w:tblStyle w:val="6"/>
        <w:tblW w:w="89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689"/>
        <w:gridCol w:w="1119"/>
        <w:gridCol w:w="1329"/>
        <w:gridCol w:w="949"/>
        <w:gridCol w:w="369"/>
        <w:gridCol w:w="1458"/>
        <w:gridCol w:w="689"/>
        <w:gridCol w:w="629"/>
        <w:gridCol w:w="884"/>
      </w:tblGrid>
      <w:tr w14:paraId="10755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1503" w:type="dxa"/>
            <w:gridSpan w:val="2"/>
            <w:noWrap w:val="0"/>
            <w:vAlign w:val="top"/>
          </w:tcPr>
          <w:p w14:paraId="60961CC3">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7426" w:type="dxa"/>
            <w:gridSpan w:val="8"/>
            <w:noWrap w:val="0"/>
            <w:vAlign w:val="top"/>
          </w:tcPr>
          <w:p w14:paraId="2E6BD1E2">
            <w:pPr>
              <w:jc w:val="left"/>
              <w:rPr>
                <w:rFonts w:ascii="Arial"/>
                <w:sz w:val="21"/>
              </w:rPr>
            </w:pPr>
            <w:r>
              <w:rPr>
                <w:rFonts w:hint="eastAsia" w:ascii="Arial"/>
                <w:sz w:val="21"/>
                <w:lang w:val="en-US" w:eastAsia="zh-CN"/>
              </w:rPr>
              <w:t>新街办社会事务专项经费</w:t>
            </w:r>
          </w:p>
        </w:tc>
      </w:tr>
      <w:tr w14:paraId="25415B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503" w:type="dxa"/>
            <w:gridSpan w:val="2"/>
            <w:noWrap w:val="0"/>
            <w:vAlign w:val="top"/>
          </w:tcPr>
          <w:p w14:paraId="36494ED7">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3397" w:type="dxa"/>
            <w:gridSpan w:val="3"/>
            <w:noWrap w:val="0"/>
            <w:vAlign w:val="top"/>
          </w:tcPr>
          <w:p w14:paraId="6B5C81F4">
            <w:pPr>
              <w:jc w:val="left"/>
              <w:rPr>
                <w:rFonts w:ascii="Arial"/>
                <w:sz w:val="21"/>
              </w:rPr>
            </w:pPr>
            <w:r>
              <w:rPr>
                <w:rFonts w:hint="eastAsia" w:ascii="Arial"/>
                <w:sz w:val="21"/>
                <w:lang w:val="en-US" w:eastAsia="zh-CN"/>
              </w:rPr>
              <w:t>党政综合办</w:t>
            </w:r>
          </w:p>
        </w:tc>
        <w:tc>
          <w:tcPr>
            <w:tcW w:w="2516" w:type="dxa"/>
            <w:gridSpan w:val="3"/>
            <w:noWrap w:val="0"/>
            <w:vAlign w:val="top"/>
          </w:tcPr>
          <w:p w14:paraId="19518A79">
            <w:pPr>
              <w:spacing w:before="150" w:line="220" w:lineRule="auto"/>
              <w:ind w:left="595"/>
              <w:jc w:val="left"/>
              <w:rPr>
                <w:rFonts w:ascii="宋体" w:hAnsi="宋体" w:eastAsia="宋体" w:cs="宋体"/>
                <w:sz w:val="22"/>
                <w:szCs w:val="22"/>
              </w:rPr>
            </w:pPr>
            <w:r>
              <w:rPr>
                <w:rFonts w:ascii="宋体" w:hAnsi="宋体" w:eastAsia="宋体" w:cs="宋体"/>
                <w:spacing w:val="1"/>
                <w:sz w:val="22"/>
                <w:szCs w:val="22"/>
              </w:rPr>
              <w:t>项目实施单位</w:t>
            </w:r>
          </w:p>
        </w:tc>
        <w:tc>
          <w:tcPr>
            <w:tcW w:w="1513" w:type="dxa"/>
            <w:gridSpan w:val="2"/>
            <w:noWrap w:val="0"/>
            <w:vAlign w:val="top"/>
          </w:tcPr>
          <w:p w14:paraId="5B9FE1CD">
            <w:pPr>
              <w:jc w:val="left"/>
              <w:rPr>
                <w:rFonts w:ascii="Arial"/>
                <w:sz w:val="21"/>
              </w:rPr>
            </w:pPr>
            <w:r>
              <w:rPr>
                <w:rFonts w:hint="eastAsia" w:ascii="Arial"/>
                <w:sz w:val="21"/>
                <w:lang w:val="en-US" w:eastAsia="zh-CN"/>
              </w:rPr>
              <w:t>新下陆街道办事</w:t>
            </w:r>
          </w:p>
        </w:tc>
      </w:tr>
      <w:tr w14:paraId="297F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3D211ADC">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7426" w:type="dxa"/>
            <w:gridSpan w:val="8"/>
            <w:noWrap w:val="0"/>
            <w:vAlign w:val="top"/>
          </w:tcPr>
          <w:p w14:paraId="2B7C2FBF">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DFAA5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503" w:type="dxa"/>
            <w:gridSpan w:val="2"/>
            <w:noWrap w:val="0"/>
            <w:vAlign w:val="top"/>
          </w:tcPr>
          <w:p w14:paraId="4DD1621D">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7426" w:type="dxa"/>
            <w:gridSpan w:val="8"/>
            <w:noWrap w:val="0"/>
            <w:vAlign w:val="top"/>
          </w:tcPr>
          <w:p w14:paraId="05311B4C">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554D41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503" w:type="dxa"/>
            <w:gridSpan w:val="2"/>
            <w:noWrap w:val="0"/>
            <w:vAlign w:val="top"/>
          </w:tcPr>
          <w:p w14:paraId="569F4649">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7426" w:type="dxa"/>
            <w:gridSpan w:val="8"/>
            <w:noWrap w:val="0"/>
            <w:vAlign w:val="top"/>
          </w:tcPr>
          <w:p w14:paraId="203A953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64995E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03" w:type="dxa"/>
            <w:gridSpan w:val="2"/>
            <w:vMerge w:val="restart"/>
            <w:tcBorders>
              <w:bottom w:val="nil"/>
            </w:tcBorders>
            <w:noWrap w:val="0"/>
            <w:vAlign w:val="top"/>
          </w:tcPr>
          <w:p w14:paraId="62AA76A3">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3CC93AB5">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783888F4">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1119" w:type="dxa"/>
            <w:noWrap w:val="0"/>
            <w:vAlign w:val="top"/>
          </w:tcPr>
          <w:p w14:paraId="7820B657">
            <w:pPr>
              <w:rPr>
                <w:rFonts w:ascii="Arial"/>
                <w:sz w:val="21"/>
              </w:rPr>
            </w:pPr>
          </w:p>
        </w:tc>
        <w:tc>
          <w:tcPr>
            <w:tcW w:w="1329" w:type="dxa"/>
            <w:noWrap w:val="0"/>
            <w:vAlign w:val="top"/>
          </w:tcPr>
          <w:p w14:paraId="426F5CC9">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1318" w:type="dxa"/>
            <w:gridSpan w:val="2"/>
            <w:noWrap w:val="0"/>
            <w:vAlign w:val="top"/>
          </w:tcPr>
          <w:p w14:paraId="68F2DC05">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1458" w:type="dxa"/>
            <w:noWrap w:val="0"/>
            <w:vAlign w:val="top"/>
          </w:tcPr>
          <w:p w14:paraId="7555A62E">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2202" w:type="dxa"/>
            <w:gridSpan w:val="3"/>
            <w:noWrap w:val="0"/>
            <w:vAlign w:val="top"/>
          </w:tcPr>
          <w:p w14:paraId="236421F4">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7590F3D5">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4C3F3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03" w:type="dxa"/>
            <w:gridSpan w:val="2"/>
            <w:vMerge w:val="continue"/>
            <w:tcBorders>
              <w:top w:val="nil"/>
            </w:tcBorders>
            <w:noWrap w:val="0"/>
            <w:vAlign w:val="top"/>
          </w:tcPr>
          <w:p w14:paraId="24CE4338">
            <w:pPr>
              <w:rPr>
                <w:rFonts w:ascii="Arial"/>
                <w:sz w:val="21"/>
              </w:rPr>
            </w:pPr>
          </w:p>
        </w:tc>
        <w:tc>
          <w:tcPr>
            <w:tcW w:w="1119" w:type="dxa"/>
            <w:noWrap w:val="0"/>
            <w:vAlign w:val="top"/>
          </w:tcPr>
          <w:p w14:paraId="73CC8935">
            <w:pPr>
              <w:spacing w:before="59" w:line="215" w:lineRule="auto"/>
              <w:ind w:left="112" w:right="108"/>
              <w:rPr>
                <w:rFonts w:ascii="宋体" w:hAnsi="宋体" w:eastAsia="宋体" w:cs="宋体"/>
                <w:sz w:val="21"/>
                <w:szCs w:val="21"/>
              </w:rPr>
            </w:pPr>
            <w:r>
              <w:t>年度财政 资金总额</w:t>
            </w:r>
          </w:p>
        </w:tc>
        <w:tc>
          <w:tcPr>
            <w:tcW w:w="1329" w:type="dxa"/>
            <w:noWrap w:val="0"/>
            <w:vAlign w:val="top"/>
          </w:tcPr>
          <w:p w14:paraId="644D26CF">
            <w:pPr>
              <w:jc w:val="center"/>
              <w:rPr>
                <w:rFonts w:hint="default" w:ascii="Arial" w:eastAsia="宋体"/>
                <w:sz w:val="21"/>
                <w:lang w:val="en-US" w:eastAsia="zh-CN"/>
              </w:rPr>
            </w:pPr>
            <w:r>
              <w:rPr>
                <w:rFonts w:hint="eastAsia" w:ascii="Arial"/>
                <w:sz w:val="21"/>
                <w:lang w:val="en-US" w:eastAsia="zh-CN"/>
              </w:rPr>
              <w:t>200</w:t>
            </w:r>
          </w:p>
        </w:tc>
        <w:tc>
          <w:tcPr>
            <w:tcW w:w="1318" w:type="dxa"/>
            <w:gridSpan w:val="2"/>
            <w:noWrap w:val="0"/>
            <w:vAlign w:val="top"/>
          </w:tcPr>
          <w:p w14:paraId="25836D17">
            <w:pPr>
              <w:jc w:val="center"/>
              <w:rPr>
                <w:rFonts w:hint="default" w:ascii="Arial" w:eastAsia="宋体"/>
                <w:sz w:val="21"/>
                <w:lang w:val="en-US" w:eastAsia="zh-CN"/>
              </w:rPr>
            </w:pPr>
            <w:r>
              <w:rPr>
                <w:rFonts w:hint="eastAsia" w:ascii="Arial"/>
                <w:sz w:val="21"/>
                <w:lang w:val="en-US" w:eastAsia="zh-CN"/>
              </w:rPr>
              <w:t>200</w:t>
            </w:r>
          </w:p>
        </w:tc>
        <w:tc>
          <w:tcPr>
            <w:tcW w:w="1458" w:type="dxa"/>
            <w:noWrap w:val="0"/>
            <w:vAlign w:val="top"/>
          </w:tcPr>
          <w:p w14:paraId="234FC856">
            <w:pPr>
              <w:jc w:val="center"/>
              <w:rPr>
                <w:rFonts w:hint="default" w:ascii="Arial" w:eastAsia="宋体"/>
                <w:kern w:val="2"/>
                <w:sz w:val="21"/>
                <w:lang w:val="en-US" w:eastAsia="zh-CN" w:bidi="ar-SA"/>
              </w:rPr>
            </w:pPr>
            <w:r>
              <w:rPr>
                <w:rFonts w:hint="eastAsia" w:ascii="Arial"/>
                <w:sz w:val="21"/>
                <w:lang w:val="en-US" w:eastAsia="zh-CN"/>
              </w:rPr>
              <w:t>100</w:t>
            </w:r>
          </w:p>
        </w:tc>
        <w:tc>
          <w:tcPr>
            <w:tcW w:w="2202" w:type="dxa"/>
            <w:gridSpan w:val="3"/>
            <w:noWrap w:val="0"/>
            <w:vAlign w:val="top"/>
          </w:tcPr>
          <w:p w14:paraId="2A982433">
            <w:pPr>
              <w:jc w:val="center"/>
              <w:rPr>
                <w:rFonts w:hint="default" w:ascii="Arial" w:eastAsia="宋体"/>
                <w:kern w:val="2"/>
                <w:sz w:val="21"/>
                <w:lang w:val="en-US" w:eastAsia="zh-CN" w:bidi="ar-SA"/>
              </w:rPr>
            </w:pPr>
            <w:r>
              <w:rPr>
                <w:rFonts w:hint="eastAsia" w:ascii="Arial"/>
                <w:sz w:val="21"/>
                <w:lang w:val="en-US" w:eastAsia="zh-CN"/>
              </w:rPr>
              <w:t>20</w:t>
            </w:r>
          </w:p>
        </w:tc>
      </w:tr>
      <w:tr w14:paraId="790EA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14" w:type="dxa"/>
            <w:vMerge w:val="restart"/>
            <w:tcBorders>
              <w:bottom w:val="nil"/>
            </w:tcBorders>
            <w:noWrap w:val="0"/>
            <w:vAlign w:val="top"/>
          </w:tcPr>
          <w:p w14:paraId="65A425D5">
            <w:pPr>
              <w:spacing w:line="269" w:lineRule="auto"/>
              <w:rPr>
                <w:rFonts w:ascii="Arial"/>
                <w:sz w:val="21"/>
              </w:rPr>
            </w:pPr>
          </w:p>
          <w:p w14:paraId="27966229">
            <w:pPr>
              <w:spacing w:line="269" w:lineRule="auto"/>
              <w:rPr>
                <w:rFonts w:ascii="Arial"/>
                <w:sz w:val="21"/>
              </w:rPr>
            </w:pPr>
          </w:p>
          <w:p w14:paraId="40C3CF5D">
            <w:pPr>
              <w:spacing w:line="269" w:lineRule="auto"/>
              <w:rPr>
                <w:rFonts w:ascii="Arial"/>
                <w:sz w:val="21"/>
              </w:rPr>
            </w:pPr>
          </w:p>
          <w:p w14:paraId="5726D79F">
            <w:pPr>
              <w:spacing w:line="270" w:lineRule="auto"/>
              <w:rPr>
                <w:rFonts w:ascii="Arial"/>
                <w:sz w:val="21"/>
              </w:rPr>
            </w:pPr>
          </w:p>
          <w:p w14:paraId="4A87A16A">
            <w:pPr>
              <w:spacing w:line="270" w:lineRule="auto"/>
              <w:rPr>
                <w:rFonts w:ascii="Arial"/>
                <w:sz w:val="21"/>
              </w:rPr>
            </w:pPr>
          </w:p>
          <w:p w14:paraId="40EB4BB2">
            <w:pPr>
              <w:spacing w:line="270" w:lineRule="auto"/>
              <w:rPr>
                <w:rFonts w:ascii="Arial"/>
                <w:sz w:val="21"/>
              </w:rPr>
            </w:pPr>
          </w:p>
          <w:p w14:paraId="0BF4740E">
            <w:pPr>
              <w:spacing w:line="270" w:lineRule="auto"/>
              <w:rPr>
                <w:rFonts w:ascii="Arial"/>
                <w:sz w:val="21"/>
              </w:rPr>
            </w:pPr>
          </w:p>
          <w:p w14:paraId="0D9EF3A9">
            <w:pPr>
              <w:jc w:val="center"/>
              <w:rPr>
                <w:b/>
                <w:bCs/>
              </w:rPr>
            </w:pPr>
          </w:p>
          <w:p w14:paraId="72E6DA4D">
            <w:pPr>
              <w:jc w:val="center"/>
              <w:rPr>
                <w:b/>
                <w:bCs/>
              </w:rPr>
            </w:pPr>
            <w:r>
              <w:rPr>
                <w:b/>
                <w:bCs/>
              </w:rPr>
              <w:t>年</w:t>
            </w:r>
          </w:p>
          <w:p w14:paraId="34DEF62E">
            <w:pPr>
              <w:jc w:val="center"/>
              <w:rPr>
                <w:b/>
                <w:bCs/>
              </w:rPr>
            </w:pPr>
            <w:r>
              <w:rPr>
                <w:b/>
                <w:bCs/>
              </w:rPr>
              <w:t>度</w:t>
            </w:r>
          </w:p>
          <w:p w14:paraId="5E9817B1">
            <w:pPr>
              <w:jc w:val="center"/>
              <w:rPr>
                <w:b/>
                <w:bCs/>
              </w:rPr>
            </w:pPr>
            <w:r>
              <w:rPr>
                <w:b/>
                <w:bCs/>
              </w:rPr>
              <w:t>绩</w:t>
            </w:r>
          </w:p>
          <w:p w14:paraId="3EF5B758">
            <w:pPr>
              <w:jc w:val="center"/>
              <w:rPr>
                <w:b/>
                <w:bCs/>
              </w:rPr>
            </w:pPr>
            <w:r>
              <w:rPr>
                <w:b/>
                <w:bCs/>
              </w:rPr>
              <w:t>效</w:t>
            </w:r>
          </w:p>
          <w:p w14:paraId="41D12ECC">
            <w:pPr>
              <w:jc w:val="center"/>
              <w:rPr>
                <w:b/>
                <w:bCs/>
              </w:rPr>
            </w:pPr>
            <w:r>
              <w:rPr>
                <w:b/>
                <w:bCs/>
              </w:rPr>
              <w:t>目</w:t>
            </w:r>
          </w:p>
          <w:p w14:paraId="4A3DA210">
            <w:pPr>
              <w:jc w:val="center"/>
              <w:rPr>
                <w:b/>
                <w:bCs/>
              </w:rPr>
            </w:pPr>
            <w:r>
              <w:rPr>
                <w:b/>
                <w:bCs/>
              </w:rPr>
              <w:t>标</w:t>
            </w:r>
          </w:p>
          <w:p w14:paraId="2F3B47C3">
            <w:pPr>
              <w:jc w:val="center"/>
              <w:rPr>
                <w:b/>
                <w:bCs/>
              </w:rPr>
            </w:pPr>
            <w:r>
              <w:rPr>
                <w:b/>
                <w:bCs/>
              </w:rPr>
              <w:t>1</w:t>
            </w:r>
          </w:p>
          <w:p w14:paraId="7756E8CD">
            <w:pPr>
              <w:jc w:val="center"/>
              <w:rPr>
                <w:rFonts w:ascii="宋体" w:hAnsi="宋体" w:eastAsia="宋体" w:cs="宋体"/>
                <w:sz w:val="22"/>
                <w:szCs w:val="22"/>
              </w:rPr>
            </w:pPr>
            <w:r>
              <w:rPr>
                <w:b/>
                <w:bCs/>
              </w:rPr>
              <w:t>(XX分 )</w:t>
            </w:r>
          </w:p>
        </w:tc>
        <w:tc>
          <w:tcPr>
            <w:tcW w:w="689" w:type="dxa"/>
            <w:noWrap w:val="0"/>
            <w:vAlign w:val="top"/>
          </w:tcPr>
          <w:p w14:paraId="3E49B1CF">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1119" w:type="dxa"/>
            <w:noWrap w:val="0"/>
            <w:vAlign w:val="top"/>
          </w:tcPr>
          <w:p w14:paraId="4E8C790E">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2647" w:type="dxa"/>
            <w:gridSpan w:val="3"/>
            <w:noWrap w:val="0"/>
            <w:vAlign w:val="top"/>
          </w:tcPr>
          <w:p w14:paraId="341EECB9">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1458" w:type="dxa"/>
            <w:noWrap w:val="0"/>
            <w:vAlign w:val="top"/>
          </w:tcPr>
          <w:p w14:paraId="3A2FAB39">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2F61A8C9">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1318" w:type="dxa"/>
            <w:gridSpan w:val="2"/>
            <w:noWrap w:val="0"/>
            <w:vAlign w:val="top"/>
          </w:tcPr>
          <w:p w14:paraId="4E52E24E">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EA2C328">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884" w:type="dxa"/>
            <w:noWrap w:val="0"/>
            <w:vAlign w:val="top"/>
          </w:tcPr>
          <w:p w14:paraId="7379934C">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7ED88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814" w:type="dxa"/>
            <w:vMerge w:val="continue"/>
            <w:tcBorders>
              <w:top w:val="nil"/>
              <w:bottom w:val="nil"/>
            </w:tcBorders>
            <w:noWrap w:val="0"/>
            <w:vAlign w:val="top"/>
          </w:tcPr>
          <w:p w14:paraId="7D1AB802">
            <w:pPr>
              <w:rPr>
                <w:rFonts w:ascii="Arial"/>
                <w:sz w:val="21"/>
              </w:rPr>
            </w:pPr>
          </w:p>
        </w:tc>
        <w:tc>
          <w:tcPr>
            <w:tcW w:w="689" w:type="dxa"/>
            <w:vMerge w:val="restart"/>
            <w:tcBorders>
              <w:bottom w:val="nil"/>
            </w:tcBorders>
            <w:noWrap w:val="0"/>
            <w:vAlign w:val="top"/>
          </w:tcPr>
          <w:p w14:paraId="52714BDE">
            <w:pPr>
              <w:rPr>
                <w:b/>
                <w:bCs/>
              </w:rPr>
            </w:pPr>
          </w:p>
          <w:p w14:paraId="3579911D">
            <w:pPr>
              <w:rPr>
                <w:b/>
                <w:bCs/>
              </w:rPr>
            </w:pPr>
          </w:p>
          <w:p w14:paraId="1A070DA1">
            <w:pPr>
              <w:rPr>
                <w:b/>
                <w:bCs/>
              </w:rPr>
            </w:pPr>
          </w:p>
          <w:p w14:paraId="345022DD">
            <w:pPr>
              <w:jc w:val="center"/>
              <w:rPr>
                <w:b/>
                <w:bCs/>
              </w:rPr>
            </w:pPr>
            <w:r>
              <w:rPr>
                <w:b/>
                <w:bCs/>
              </w:rPr>
              <w:t>产出</w:t>
            </w:r>
          </w:p>
          <w:p w14:paraId="673505F5">
            <w:pPr>
              <w:jc w:val="center"/>
              <w:rPr>
                <w:rFonts w:hint="eastAsia" w:eastAsia="宋体"/>
                <w:b/>
                <w:bCs/>
                <w:lang w:val="en-US" w:eastAsia="zh-CN"/>
              </w:rPr>
            </w:pPr>
            <w:r>
              <w:rPr>
                <w:rFonts w:hint="eastAsia"/>
                <w:b/>
                <w:bCs/>
                <w:lang w:val="en-US" w:eastAsia="zh-CN"/>
              </w:rPr>
              <w:t>指标</w:t>
            </w:r>
          </w:p>
        </w:tc>
        <w:tc>
          <w:tcPr>
            <w:tcW w:w="1119" w:type="dxa"/>
            <w:noWrap w:val="0"/>
            <w:vAlign w:val="top"/>
          </w:tcPr>
          <w:p w14:paraId="7A775505">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数量指标</w:t>
            </w:r>
          </w:p>
        </w:tc>
        <w:tc>
          <w:tcPr>
            <w:tcW w:w="2647" w:type="dxa"/>
            <w:gridSpan w:val="3"/>
            <w:noWrap w:val="0"/>
            <w:vAlign w:val="top"/>
          </w:tcPr>
          <w:p w14:paraId="106E23C2">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森林防火、信访维稳</w:t>
            </w:r>
          </w:p>
        </w:tc>
        <w:tc>
          <w:tcPr>
            <w:tcW w:w="1458" w:type="dxa"/>
            <w:noWrap w:val="0"/>
            <w:vAlign w:val="top"/>
          </w:tcPr>
          <w:p w14:paraId="729E53CF">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100%</w:t>
            </w:r>
          </w:p>
        </w:tc>
        <w:tc>
          <w:tcPr>
            <w:tcW w:w="1318" w:type="dxa"/>
            <w:gridSpan w:val="2"/>
            <w:noWrap w:val="0"/>
            <w:vAlign w:val="top"/>
          </w:tcPr>
          <w:p w14:paraId="6A818B2B">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100%</w:t>
            </w:r>
          </w:p>
        </w:tc>
        <w:tc>
          <w:tcPr>
            <w:tcW w:w="884" w:type="dxa"/>
            <w:noWrap w:val="0"/>
            <w:vAlign w:val="top"/>
          </w:tcPr>
          <w:p w14:paraId="466147A8">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4676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621F93F5">
            <w:pPr>
              <w:rPr>
                <w:rFonts w:ascii="Arial"/>
                <w:sz w:val="21"/>
              </w:rPr>
            </w:pPr>
          </w:p>
        </w:tc>
        <w:tc>
          <w:tcPr>
            <w:tcW w:w="689" w:type="dxa"/>
            <w:vMerge w:val="continue"/>
            <w:tcBorders>
              <w:top w:val="nil"/>
              <w:bottom w:val="nil"/>
            </w:tcBorders>
            <w:noWrap w:val="0"/>
            <w:vAlign w:val="top"/>
          </w:tcPr>
          <w:p w14:paraId="6AFA5EC6">
            <w:pPr>
              <w:rPr>
                <w:b/>
                <w:bCs/>
              </w:rPr>
            </w:pPr>
          </w:p>
        </w:tc>
        <w:tc>
          <w:tcPr>
            <w:tcW w:w="1119" w:type="dxa"/>
            <w:noWrap w:val="0"/>
            <w:vAlign w:val="top"/>
          </w:tcPr>
          <w:p w14:paraId="637DFBF0">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质量指标</w:t>
            </w:r>
          </w:p>
        </w:tc>
        <w:tc>
          <w:tcPr>
            <w:tcW w:w="2647" w:type="dxa"/>
            <w:gridSpan w:val="3"/>
            <w:noWrap w:val="0"/>
            <w:vAlign w:val="top"/>
          </w:tcPr>
          <w:p w14:paraId="2757F5DB">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坚持依法依规管理</w:t>
            </w:r>
          </w:p>
        </w:tc>
        <w:tc>
          <w:tcPr>
            <w:tcW w:w="1458" w:type="dxa"/>
            <w:noWrap w:val="0"/>
            <w:vAlign w:val="top"/>
          </w:tcPr>
          <w:p w14:paraId="0BF6D14E">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lang w:val="en-US" w:eastAsia="zh-CN"/>
              </w:rPr>
              <w:t>长期</w:t>
            </w:r>
          </w:p>
        </w:tc>
        <w:tc>
          <w:tcPr>
            <w:tcW w:w="1318" w:type="dxa"/>
            <w:gridSpan w:val="2"/>
            <w:noWrap w:val="0"/>
            <w:vAlign w:val="top"/>
          </w:tcPr>
          <w:p w14:paraId="34B95865">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长期</w:t>
            </w:r>
          </w:p>
        </w:tc>
        <w:tc>
          <w:tcPr>
            <w:tcW w:w="884" w:type="dxa"/>
            <w:noWrap w:val="0"/>
            <w:vAlign w:val="top"/>
          </w:tcPr>
          <w:p w14:paraId="5D5F799D">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397CB2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6319EFCC">
            <w:pPr>
              <w:rPr>
                <w:rFonts w:ascii="Arial"/>
                <w:sz w:val="21"/>
              </w:rPr>
            </w:pPr>
          </w:p>
        </w:tc>
        <w:tc>
          <w:tcPr>
            <w:tcW w:w="689" w:type="dxa"/>
            <w:vMerge w:val="continue"/>
            <w:tcBorders>
              <w:top w:val="nil"/>
              <w:bottom w:val="nil"/>
            </w:tcBorders>
            <w:noWrap w:val="0"/>
            <w:vAlign w:val="top"/>
          </w:tcPr>
          <w:p w14:paraId="530E4205">
            <w:pPr>
              <w:rPr>
                <w:b/>
                <w:bCs/>
              </w:rPr>
            </w:pPr>
          </w:p>
        </w:tc>
        <w:tc>
          <w:tcPr>
            <w:tcW w:w="1119" w:type="dxa"/>
            <w:noWrap w:val="0"/>
            <w:vAlign w:val="top"/>
          </w:tcPr>
          <w:p w14:paraId="25B926B9">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时效指标</w:t>
            </w:r>
          </w:p>
        </w:tc>
        <w:tc>
          <w:tcPr>
            <w:tcW w:w="2647" w:type="dxa"/>
            <w:gridSpan w:val="3"/>
            <w:noWrap w:val="0"/>
            <w:vAlign w:val="top"/>
          </w:tcPr>
          <w:p w14:paraId="4601139F">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重大信访事件办结率90%</w:t>
            </w:r>
          </w:p>
        </w:tc>
        <w:tc>
          <w:tcPr>
            <w:tcW w:w="1458" w:type="dxa"/>
            <w:noWrap w:val="0"/>
            <w:vAlign w:val="top"/>
          </w:tcPr>
          <w:p w14:paraId="6E2A5A32">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90%</w:t>
            </w:r>
          </w:p>
        </w:tc>
        <w:tc>
          <w:tcPr>
            <w:tcW w:w="1318" w:type="dxa"/>
            <w:gridSpan w:val="2"/>
            <w:noWrap w:val="0"/>
            <w:vAlign w:val="top"/>
          </w:tcPr>
          <w:p w14:paraId="00BA090C">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90%</w:t>
            </w:r>
          </w:p>
        </w:tc>
        <w:tc>
          <w:tcPr>
            <w:tcW w:w="884" w:type="dxa"/>
            <w:noWrap w:val="0"/>
            <w:vAlign w:val="top"/>
          </w:tcPr>
          <w:p w14:paraId="55CC955E">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09BF8F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49B683AB">
            <w:pPr>
              <w:rPr>
                <w:rFonts w:ascii="Arial"/>
                <w:sz w:val="21"/>
              </w:rPr>
            </w:pPr>
          </w:p>
        </w:tc>
        <w:tc>
          <w:tcPr>
            <w:tcW w:w="689" w:type="dxa"/>
            <w:vMerge w:val="continue"/>
            <w:tcBorders>
              <w:top w:val="nil"/>
            </w:tcBorders>
            <w:noWrap w:val="0"/>
            <w:vAlign w:val="top"/>
          </w:tcPr>
          <w:p w14:paraId="3BC8FB90">
            <w:pPr>
              <w:rPr>
                <w:b/>
                <w:bCs/>
              </w:rPr>
            </w:pPr>
          </w:p>
        </w:tc>
        <w:tc>
          <w:tcPr>
            <w:tcW w:w="1119" w:type="dxa"/>
            <w:noWrap w:val="0"/>
            <w:vAlign w:val="top"/>
          </w:tcPr>
          <w:p w14:paraId="52B08C74">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成本指标</w:t>
            </w:r>
          </w:p>
        </w:tc>
        <w:tc>
          <w:tcPr>
            <w:tcW w:w="2647" w:type="dxa"/>
            <w:gridSpan w:val="3"/>
            <w:noWrap w:val="0"/>
            <w:vAlign w:val="top"/>
          </w:tcPr>
          <w:p w14:paraId="121FD461">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完成任务的同时，控制成本</w:t>
            </w:r>
          </w:p>
        </w:tc>
        <w:tc>
          <w:tcPr>
            <w:tcW w:w="1458" w:type="dxa"/>
            <w:noWrap w:val="0"/>
            <w:vAlign w:val="top"/>
          </w:tcPr>
          <w:p w14:paraId="131A65A4">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14:paraId="6275814A">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14:paraId="1E98D088">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64DE3E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14" w:type="dxa"/>
            <w:vMerge w:val="continue"/>
            <w:tcBorders>
              <w:top w:val="nil"/>
              <w:bottom w:val="nil"/>
            </w:tcBorders>
            <w:noWrap w:val="0"/>
            <w:vAlign w:val="top"/>
          </w:tcPr>
          <w:p w14:paraId="4DDD388D">
            <w:pPr>
              <w:rPr>
                <w:rFonts w:ascii="Arial"/>
                <w:sz w:val="21"/>
              </w:rPr>
            </w:pPr>
          </w:p>
        </w:tc>
        <w:tc>
          <w:tcPr>
            <w:tcW w:w="689" w:type="dxa"/>
            <w:vMerge w:val="restart"/>
            <w:tcBorders>
              <w:bottom w:val="nil"/>
            </w:tcBorders>
            <w:noWrap w:val="0"/>
            <w:vAlign w:val="top"/>
          </w:tcPr>
          <w:p w14:paraId="4506AA4B">
            <w:pPr>
              <w:jc w:val="center"/>
              <w:rPr>
                <w:rFonts w:ascii="Calibri" w:hAnsi="Calibri" w:eastAsia="宋体" w:cs="Times New Roman"/>
                <w:b/>
                <w:bCs/>
              </w:rPr>
            </w:pPr>
          </w:p>
          <w:p w14:paraId="64FAF9B5">
            <w:pPr>
              <w:jc w:val="center"/>
              <w:rPr>
                <w:rFonts w:ascii="Calibri" w:hAnsi="Calibri" w:eastAsia="宋体" w:cs="Times New Roman"/>
                <w:b/>
                <w:bCs/>
              </w:rPr>
            </w:pPr>
          </w:p>
          <w:p w14:paraId="7D50563A">
            <w:pPr>
              <w:jc w:val="center"/>
              <w:rPr>
                <w:rFonts w:ascii="Calibri" w:hAnsi="Calibri" w:eastAsia="宋体" w:cs="Times New Roman"/>
                <w:b/>
                <w:bCs/>
              </w:rPr>
            </w:pPr>
          </w:p>
          <w:p w14:paraId="7AC5A03D">
            <w:pPr>
              <w:jc w:val="center"/>
              <w:rPr>
                <w:rFonts w:ascii="Calibri" w:hAnsi="Calibri" w:eastAsia="宋体" w:cs="Times New Roman"/>
                <w:b/>
                <w:bCs/>
              </w:rPr>
            </w:pPr>
            <w:r>
              <w:rPr>
                <w:rFonts w:ascii="Calibri" w:hAnsi="Calibri" w:eastAsia="宋体" w:cs="Times New Roman"/>
                <w:b/>
                <w:bCs/>
              </w:rPr>
              <w:t>效益 指标</w:t>
            </w:r>
          </w:p>
        </w:tc>
        <w:tc>
          <w:tcPr>
            <w:tcW w:w="1119" w:type="dxa"/>
            <w:noWrap w:val="0"/>
            <w:vAlign w:val="top"/>
          </w:tcPr>
          <w:p w14:paraId="400F6D31">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经济效益指标</w:t>
            </w:r>
          </w:p>
        </w:tc>
        <w:tc>
          <w:tcPr>
            <w:tcW w:w="2647" w:type="dxa"/>
            <w:gridSpan w:val="3"/>
            <w:noWrap w:val="0"/>
            <w:vAlign w:val="top"/>
          </w:tcPr>
          <w:p w14:paraId="65F01980">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促进辖区经济增长和基础建设</w:t>
            </w:r>
          </w:p>
        </w:tc>
        <w:tc>
          <w:tcPr>
            <w:tcW w:w="1458" w:type="dxa"/>
            <w:noWrap w:val="0"/>
            <w:vAlign w:val="top"/>
          </w:tcPr>
          <w:p w14:paraId="74778492">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14:paraId="6D734324">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14:paraId="7A90475B">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74AF4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07894F18">
            <w:pPr>
              <w:rPr>
                <w:rFonts w:ascii="Arial"/>
                <w:sz w:val="21"/>
              </w:rPr>
            </w:pPr>
          </w:p>
        </w:tc>
        <w:tc>
          <w:tcPr>
            <w:tcW w:w="689" w:type="dxa"/>
            <w:vMerge w:val="continue"/>
            <w:tcBorders>
              <w:top w:val="nil"/>
              <w:bottom w:val="nil"/>
            </w:tcBorders>
            <w:noWrap w:val="0"/>
            <w:vAlign w:val="top"/>
          </w:tcPr>
          <w:p w14:paraId="5721224A">
            <w:pPr>
              <w:jc w:val="center"/>
              <w:rPr>
                <w:rFonts w:ascii="Calibri" w:hAnsi="Calibri" w:eastAsia="宋体" w:cs="Times New Roman"/>
                <w:b/>
                <w:bCs/>
              </w:rPr>
            </w:pPr>
          </w:p>
        </w:tc>
        <w:tc>
          <w:tcPr>
            <w:tcW w:w="1119" w:type="dxa"/>
            <w:noWrap w:val="0"/>
            <w:vAlign w:val="top"/>
          </w:tcPr>
          <w:p w14:paraId="5B4AA7D4">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社会效益指标</w:t>
            </w:r>
          </w:p>
        </w:tc>
        <w:tc>
          <w:tcPr>
            <w:tcW w:w="2647" w:type="dxa"/>
            <w:gridSpan w:val="3"/>
            <w:noWrap w:val="0"/>
            <w:vAlign w:val="top"/>
          </w:tcPr>
          <w:p w14:paraId="45424A06">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维护辖区信访工作稳定率</w:t>
            </w:r>
          </w:p>
        </w:tc>
        <w:tc>
          <w:tcPr>
            <w:tcW w:w="1458" w:type="dxa"/>
            <w:noWrap w:val="0"/>
            <w:vAlign w:val="top"/>
          </w:tcPr>
          <w:p w14:paraId="32404444">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14:paraId="1A1FB81F">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14:paraId="0899CB53">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4A8E6E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814" w:type="dxa"/>
            <w:vMerge w:val="continue"/>
            <w:tcBorders>
              <w:top w:val="nil"/>
              <w:bottom w:val="nil"/>
            </w:tcBorders>
            <w:noWrap w:val="0"/>
            <w:vAlign w:val="top"/>
          </w:tcPr>
          <w:p w14:paraId="2DBFA0A6">
            <w:pPr>
              <w:rPr>
                <w:rFonts w:ascii="Arial"/>
                <w:sz w:val="21"/>
              </w:rPr>
            </w:pPr>
          </w:p>
        </w:tc>
        <w:tc>
          <w:tcPr>
            <w:tcW w:w="689" w:type="dxa"/>
            <w:vMerge w:val="continue"/>
            <w:tcBorders>
              <w:top w:val="nil"/>
              <w:bottom w:val="nil"/>
            </w:tcBorders>
            <w:noWrap w:val="0"/>
            <w:vAlign w:val="top"/>
          </w:tcPr>
          <w:p w14:paraId="55C3DCD1">
            <w:pPr>
              <w:jc w:val="center"/>
              <w:rPr>
                <w:rFonts w:ascii="Calibri" w:hAnsi="Calibri" w:eastAsia="宋体" w:cs="Times New Roman"/>
                <w:b/>
                <w:bCs/>
              </w:rPr>
            </w:pPr>
          </w:p>
        </w:tc>
        <w:tc>
          <w:tcPr>
            <w:tcW w:w="1119" w:type="dxa"/>
            <w:noWrap w:val="0"/>
            <w:vAlign w:val="top"/>
          </w:tcPr>
          <w:p w14:paraId="1BE2D57B">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生态效益指标</w:t>
            </w:r>
          </w:p>
        </w:tc>
        <w:tc>
          <w:tcPr>
            <w:tcW w:w="2647" w:type="dxa"/>
            <w:gridSpan w:val="3"/>
            <w:noWrap w:val="0"/>
            <w:vAlign w:val="top"/>
          </w:tcPr>
          <w:p w14:paraId="30F1E841">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保证辖区内环境环境卫生</w:t>
            </w:r>
          </w:p>
        </w:tc>
        <w:tc>
          <w:tcPr>
            <w:tcW w:w="1458" w:type="dxa"/>
            <w:noWrap w:val="0"/>
            <w:vAlign w:val="top"/>
          </w:tcPr>
          <w:p w14:paraId="4433CC56">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14:paraId="3DB4595C">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14:paraId="44B274F8">
            <w:pPr>
              <w:jc w:val="center"/>
              <w:rPr>
                <w:rFonts w:hint="default" w:ascii="Arial" w:hAnsi="Calibri" w:eastAsia="宋体" w:cs="Times New Roman"/>
                <w:kern w:val="2"/>
                <w:sz w:val="21"/>
                <w:lang w:val="en-US" w:eastAsia="zh-CN" w:bidi="ar-SA"/>
              </w:rPr>
            </w:pPr>
            <w:r>
              <w:rPr>
                <w:rFonts w:hint="eastAsia" w:ascii="Arial" w:hAnsi="Calibri" w:eastAsia="宋体" w:cs="Times New Roman"/>
                <w:kern w:val="2"/>
                <w:sz w:val="21"/>
                <w:lang w:val="en-US" w:eastAsia="zh-CN" w:bidi="ar-SA"/>
              </w:rPr>
              <w:t>10</w:t>
            </w:r>
          </w:p>
        </w:tc>
      </w:tr>
      <w:tr w14:paraId="35F17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bottom w:val="nil"/>
            </w:tcBorders>
            <w:noWrap w:val="0"/>
            <w:vAlign w:val="top"/>
          </w:tcPr>
          <w:p w14:paraId="2C698B8B">
            <w:pPr>
              <w:rPr>
                <w:rFonts w:ascii="Arial"/>
                <w:sz w:val="21"/>
              </w:rPr>
            </w:pPr>
          </w:p>
        </w:tc>
        <w:tc>
          <w:tcPr>
            <w:tcW w:w="689" w:type="dxa"/>
            <w:vMerge w:val="continue"/>
            <w:tcBorders>
              <w:top w:val="nil"/>
            </w:tcBorders>
            <w:noWrap w:val="0"/>
            <w:vAlign w:val="top"/>
          </w:tcPr>
          <w:p w14:paraId="4356C36F">
            <w:pPr>
              <w:jc w:val="center"/>
              <w:rPr>
                <w:rFonts w:ascii="Calibri" w:hAnsi="Calibri" w:eastAsia="宋体" w:cs="Times New Roman"/>
                <w:b/>
                <w:bCs/>
              </w:rPr>
            </w:pPr>
          </w:p>
        </w:tc>
        <w:tc>
          <w:tcPr>
            <w:tcW w:w="1119" w:type="dxa"/>
            <w:noWrap w:val="0"/>
            <w:vAlign w:val="top"/>
          </w:tcPr>
          <w:p w14:paraId="1C17710B">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可持续影响指标</w:t>
            </w:r>
          </w:p>
        </w:tc>
        <w:tc>
          <w:tcPr>
            <w:tcW w:w="2647" w:type="dxa"/>
            <w:gridSpan w:val="3"/>
            <w:noWrap w:val="0"/>
            <w:vAlign w:val="top"/>
          </w:tcPr>
          <w:p w14:paraId="72DF9443">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优化辖区营商环境</w:t>
            </w:r>
          </w:p>
        </w:tc>
        <w:tc>
          <w:tcPr>
            <w:tcW w:w="1458" w:type="dxa"/>
            <w:noWrap w:val="0"/>
            <w:vAlign w:val="top"/>
          </w:tcPr>
          <w:p w14:paraId="50D5B8F6">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1318" w:type="dxa"/>
            <w:gridSpan w:val="2"/>
            <w:noWrap w:val="0"/>
            <w:vAlign w:val="top"/>
          </w:tcPr>
          <w:p w14:paraId="6C5BE0DA">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长期</w:t>
            </w:r>
          </w:p>
        </w:tc>
        <w:tc>
          <w:tcPr>
            <w:tcW w:w="884" w:type="dxa"/>
            <w:noWrap w:val="0"/>
            <w:vAlign w:val="top"/>
          </w:tcPr>
          <w:p w14:paraId="79A63490">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10</w:t>
            </w:r>
          </w:p>
        </w:tc>
      </w:tr>
      <w:tr w14:paraId="1ED9E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vMerge w:val="continue"/>
            <w:tcBorders>
              <w:top w:val="nil"/>
              <w:bottom w:val="nil"/>
            </w:tcBorders>
            <w:noWrap w:val="0"/>
            <w:vAlign w:val="top"/>
          </w:tcPr>
          <w:p w14:paraId="46EB3D19">
            <w:pPr>
              <w:rPr>
                <w:rFonts w:ascii="Arial"/>
                <w:sz w:val="21"/>
              </w:rPr>
            </w:pPr>
          </w:p>
        </w:tc>
        <w:tc>
          <w:tcPr>
            <w:tcW w:w="689" w:type="dxa"/>
            <w:vMerge w:val="restart"/>
            <w:tcBorders>
              <w:bottom w:val="nil"/>
            </w:tcBorders>
            <w:noWrap w:val="0"/>
            <w:vAlign w:val="top"/>
          </w:tcPr>
          <w:p w14:paraId="57B4378F">
            <w:pPr>
              <w:jc w:val="center"/>
              <w:rPr>
                <w:rFonts w:ascii="Calibri" w:hAnsi="Calibri" w:eastAsia="宋体" w:cs="Times New Roman"/>
                <w:b/>
                <w:bCs/>
              </w:rPr>
            </w:pPr>
            <w:r>
              <w:rPr>
                <w:rFonts w:ascii="Calibri" w:hAnsi="Calibri" w:eastAsia="宋体" w:cs="Times New Roman"/>
                <w:b/>
                <w:bCs/>
              </w:rPr>
              <w:t>满意</w:t>
            </w:r>
          </w:p>
          <w:p w14:paraId="06D9FD57">
            <w:pPr>
              <w:jc w:val="center"/>
              <w:rPr>
                <w:rFonts w:ascii="Calibri" w:hAnsi="Calibri" w:eastAsia="宋体" w:cs="Times New Roman"/>
                <w:b/>
                <w:bCs/>
              </w:rPr>
            </w:pPr>
            <w:r>
              <w:rPr>
                <w:rFonts w:ascii="Calibri" w:hAnsi="Calibri" w:eastAsia="宋体" w:cs="Times New Roman"/>
                <w:b/>
                <w:bCs/>
              </w:rPr>
              <w:t>度指</w:t>
            </w:r>
          </w:p>
          <w:p w14:paraId="1BF22F83">
            <w:pPr>
              <w:jc w:val="center"/>
              <w:rPr>
                <w:rFonts w:ascii="Calibri" w:hAnsi="Calibri" w:eastAsia="宋体" w:cs="Times New Roman"/>
                <w:b/>
                <w:bCs/>
              </w:rPr>
            </w:pPr>
            <w:r>
              <w:rPr>
                <w:rFonts w:ascii="Calibri" w:hAnsi="Calibri" w:eastAsia="宋体" w:cs="Times New Roman"/>
                <w:b/>
                <w:bCs/>
              </w:rPr>
              <w:t>标</w:t>
            </w:r>
          </w:p>
        </w:tc>
        <w:tc>
          <w:tcPr>
            <w:tcW w:w="1119" w:type="dxa"/>
            <w:noWrap w:val="0"/>
            <w:vAlign w:val="top"/>
          </w:tcPr>
          <w:p w14:paraId="4D487200">
            <w:pPr>
              <w:jc w:val="center"/>
              <w:rPr>
                <w:rFonts w:hint="eastAsia" w:ascii="Arial" w:hAnsi="Calibri" w:eastAsia="宋体" w:cs="Times New Roman"/>
                <w:kern w:val="2"/>
                <w:sz w:val="21"/>
                <w:lang w:val="en-US" w:eastAsia="zh-CN" w:bidi="ar-SA"/>
              </w:rPr>
            </w:pPr>
          </w:p>
        </w:tc>
        <w:tc>
          <w:tcPr>
            <w:tcW w:w="2647" w:type="dxa"/>
            <w:gridSpan w:val="3"/>
            <w:noWrap w:val="0"/>
            <w:vAlign w:val="top"/>
          </w:tcPr>
          <w:p w14:paraId="0F5E9D9A">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rPr>
              <w:t>群众满意度</w:t>
            </w:r>
          </w:p>
        </w:tc>
        <w:tc>
          <w:tcPr>
            <w:tcW w:w="1458" w:type="dxa"/>
            <w:noWrap w:val="0"/>
            <w:vAlign w:val="top"/>
          </w:tcPr>
          <w:p w14:paraId="57610147">
            <w:pPr>
              <w:jc w:val="center"/>
              <w:rPr>
                <w:rFonts w:hint="default" w:ascii="Arial" w:hAnsi="Calibri" w:eastAsia="宋体" w:cs="Times New Roman"/>
                <w:kern w:val="2"/>
                <w:sz w:val="21"/>
                <w:lang w:val="en-US" w:eastAsia="zh-CN" w:bidi="ar-SA"/>
              </w:rPr>
            </w:pPr>
            <w:r>
              <w:rPr>
                <w:rFonts w:hint="eastAsia" w:ascii="Arial" w:hAnsi="Calibri" w:eastAsia="宋体" w:cs="Times New Roman"/>
                <w:sz w:val="21"/>
                <w:lang w:val="en-US" w:eastAsia="zh-CN"/>
              </w:rPr>
              <w:t>全年无进京赴省事件。</w:t>
            </w:r>
          </w:p>
        </w:tc>
        <w:tc>
          <w:tcPr>
            <w:tcW w:w="1318" w:type="dxa"/>
            <w:gridSpan w:val="2"/>
            <w:noWrap w:val="0"/>
            <w:vAlign w:val="top"/>
          </w:tcPr>
          <w:p w14:paraId="2D1116BA">
            <w:pPr>
              <w:jc w:val="center"/>
              <w:rPr>
                <w:rFonts w:hint="eastAsia" w:ascii="Arial" w:hAnsi="Calibri" w:eastAsia="宋体" w:cs="Times New Roman"/>
                <w:kern w:val="2"/>
                <w:sz w:val="21"/>
                <w:lang w:val="en-US" w:eastAsia="zh-CN" w:bidi="ar-SA"/>
              </w:rPr>
            </w:pPr>
            <w:r>
              <w:rPr>
                <w:rFonts w:hint="eastAsia" w:ascii="Arial" w:hAnsi="Calibri" w:eastAsia="宋体" w:cs="Times New Roman"/>
                <w:sz w:val="21"/>
                <w:lang w:val="en-US" w:eastAsia="zh-CN"/>
              </w:rPr>
              <w:t>全年无进京赴省事件。</w:t>
            </w:r>
          </w:p>
        </w:tc>
        <w:tc>
          <w:tcPr>
            <w:tcW w:w="884" w:type="dxa"/>
            <w:noWrap w:val="0"/>
            <w:vAlign w:val="top"/>
          </w:tcPr>
          <w:p w14:paraId="4239ECEB">
            <w:pPr>
              <w:jc w:val="center"/>
              <w:rPr>
                <w:rFonts w:hint="default" w:ascii="Arial" w:hAnsi="Calibri" w:eastAsia="宋体" w:cs="Times New Roman"/>
                <w:kern w:val="2"/>
                <w:sz w:val="21"/>
                <w:lang w:val="en-US" w:eastAsia="zh-CN" w:bidi="ar-SA"/>
              </w:rPr>
            </w:pPr>
          </w:p>
        </w:tc>
      </w:tr>
      <w:tr w14:paraId="2715A3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14" w:type="dxa"/>
            <w:vMerge w:val="continue"/>
            <w:tcBorders>
              <w:top w:val="nil"/>
            </w:tcBorders>
            <w:noWrap w:val="0"/>
            <w:vAlign w:val="top"/>
          </w:tcPr>
          <w:p w14:paraId="62B1E212">
            <w:pPr>
              <w:rPr>
                <w:rFonts w:ascii="Arial"/>
                <w:sz w:val="21"/>
              </w:rPr>
            </w:pPr>
          </w:p>
        </w:tc>
        <w:tc>
          <w:tcPr>
            <w:tcW w:w="689" w:type="dxa"/>
            <w:vMerge w:val="continue"/>
            <w:tcBorders>
              <w:top w:val="nil"/>
            </w:tcBorders>
            <w:noWrap w:val="0"/>
            <w:vAlign w:val="top"/>
          </w:tcPr>
          <w:p w14:paraId="388988A2">
            <w:pPr>
              <w:rPr>
                <w:rFonts w:ascii="Arial"/>
                <w:sz w:val="21"/>
              </w:rPr>
            </w:pPr>
          </w:p>
        </w:tc>
        <w:tc>
          <w:tcPr>
            <w:tcW w:w="1119" w:type="dxa"/>
            <w:noWrap w:val="0"/>
            <w:vAlign w:val="top"/>
          </w:tcPr>
          <w:p w14:paraId="4A0BBD2C">
            <w:pPr>
              <w:rPr>
                <w:rFonts w:ascii="Arial"/>
                <w:sz w:val="21"/>
              </w:rPr>
            </w:pPr>
          </w:p>
        </w:tc>
        <w:tc>
          <w:tcPr>
            <w:tcW w:w="2647" w:type="dxa"/>
            <w:gridSpan w:val="3"/>
            <w:noWrap w:val="0"/>
            <w:vAlign w:val="top"/>
          </w:tcPr>
          <w:p w14:paraId="7A0D1D05">
            <w:pPr>
              <w:rPr>
                <w:rFonts w:ascii="Arial"/>
                <w:sz w:val="21"/>
              </w:rPr>
            </w:pPr>
          </w:p>
        </w:tc>
        <w:tc>
          <w:tcPr>
            <w:tcW w:w="1458" w:type="dxa"/>
            <w:noWrap w:val="0"/>
            <w:vAlign w:val="top"/>
          </w:tcPr>
          <w:p w14:paraId="4CC8337A">
            <w:pPr>
              <w:rPr>
                <w:rFonts w:ascii="Arial"/>
                <w:sz w:val="21"/>
              </w:rPr>
            </w:pPr>
          </w:p>
        </w:tc>
        <w:tc>
          <w:tcPr>
            <w:tcW w:w="1318" w:type="dxa"/>
            <w:gridSpan w:val="2"/>
            <w:noWrap w:val="0"/>
            <w:vAlign w:val="top"/>
          </w:tcPr>
          <w:p w14:paraId="27F72551">
            <w:pPr>
              <w:rPr>
                <w:rFonts w:ascii="Arial"/>
                <w:sz w:val="21"/>
              </w:rPr>
            </w:pPr>
          </w:p>
        </w:tc>
        <w:tc>
          <w:tcPr>
            <w:tcW w:w="884" w:type="dxa"/>
            <w:noWrap w:val="0"/>
            <w:vAlign w:val="top"/>
          </w:tcPr>
          <w:p w14:paraId="1A610929">
            <w:pPr>
              <w:rPr>
                <w:rFonts w:ascii="Arial"/>
                <w:sz w:val="21"/>
              </w:rPr>
            </w:pPr>
          </w:p>
        </w:tc>
      </w:tr>
      <w:tr w14:paraId="544EA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14" w:type="dxa"/>
            <w:noWrap w:val="0"/>
            <w:vAlign w:val="top"/>
          </w:tcPr>
          <w:p w14:paraId="156EF15E">
            <w:pPr>
              <w:spacing w:before="58" w:line="223" w:lineRule="auto"/>
              <w:ind w:right="115"/>
              <w:jc w:val="center"/>
              <w:rPr>
                <w:rFonts w:ascii="Calibri" w:hAnsi="Calibri" w:eastAsia="宋体" w:cs="Times New Roman"/>
                <w:b/>
                <w:bCs/>
              </w:rPr>
            </w:pPr>
            <w:r>
              <w:rPr>
                <w:rFonts w:ascii="Calibri" w:hAnsi="Calibri" w:eastAsia="宋体" w:cs="Times New Roman"/>
                <w:b/>
                <w:bCs/>
              </w:rPr>
              <w:t>年度 绩效 目标</w:t>
            </w:r>
          </w:p>
          <w:p w14:paraId="44D597B0">
            <w:pPr>
              <w:spacing w:before="58" w:line="223" w:lineRule="auto"/>
              <w:ind w:right="115"/>
              <w:jc w:val="center"/>
              <w:rPr>
                <w:rFonts w:ascii="宋体" w:hAnsi="宋体" w:eastAsia="宋体" w:cs="宋体"/>
                <w:sz w:val="21"/>
                <w:szCs w:val="21"/>
              </w:rPr>
            </w:pPr>
            <w:r>
              <w:rPr>
                <w:rFonts w:ascii="Calibri" w:hAnsi="Calibri" w:eastAsia="宋体" w:cs="Times New Roman"/>
                <w:b/>
                <w:bCs/>
              </w:rPr>
              <w:t>2</w:t>
            </w:r>
          </w:p>
        </w:tc>
        <w:tc>
          <w:tcPr>
            <w:tcW w:w="689" w:type="dxa"/>
            <w:noWrap w:val="0"/>
            <w:vAlign w:val="top"/>
          </w:tcPr>
          <w:p w14:paraId="2B026E23">
            <w:pPr>
              <w:rPr>
                <w:rFonts w:ascii="Arial"/>
                <w:sz w:val="21"/>
              </w:rPr>
            </w:pPr>
          </w:p>
        </w:tc>
        <w:tc>
          <w:tcPr>
            <w:tcW w:w="1119" w:type="dxa"/>
            <w:noWrap w:val="0"/>
            <w:vAlign w:val="top"/>
          </w:tcPr>
          <w:p w14:paraId="0CCDD488">
            <w:pPr>
              <w:rPr>
                <w:rFonts w:ascii="Arial"/>
                <w:sz w:val="21"/>
              </w:rPr>
            </w:pPr>
          </w:p>
        </w:tc>
        <w:tc>
          <w:tcPr>
            <w:tcW w:w="2647" w:type="dxa"/>
            <w:gridSpan w:val="3"/>
            <w:noWrap w:val="0"/>
            <w:vAlign w:val="top"/>
          </w:tcPr>
          <w:p w14:paraId="21845BEF">
            <w:pPr>
              <w:rPr>
                <w:rFonts w:ascii="Arial"/>
                <w:sz w:val="21"/>
              </w:rPr>
            </w:pPr>
          </w:p>
        </w:tc>
        <w:tc>
          <w:tcPr>
            <w:tcW w:w="1458" w:type="dxa"/>
            <w:noWrap w:val="0"/>
            <w:vAlign w:val="top"/>
          </w:tcPr>
          <w:p w14:paraId="448A1426">
            <w:pPr>
              <w:rPr>
                <w:rFonts w:ascii="Arial"/>
                <w:sz w:val="21"/>
              </w:rPr>
            </w:pPr>
          </w:p>
        </w:tc>
        <w:tc>
          <w:tcPr>
            <w:tcW w:w="1318" w:type="dxa"/>
            <w:gridSpan w:val="2"/>
            <w:noWrap w:val="0"/>
            <w:vAlign w:val="top"/>
          </w:tcPr>
          <w:p w14:paraId="7987353C">
            <w:pPr>
              <w:rPr>
                <w:rFonts w:ascii="Arial"/>
                <w:sz w:val="21"/>
              </w:rPr>
            </w:pPr>
          </w:p>
        </w:tc>
        <w:tc>
          <w:tcPr>
            <w:tcW w:w="884" w:type="dxa"/>
            <w:noWrap w:val="0"/>
            <w:vAlign w:val="top"/>
          </w:tcPr>
          <w:p w14:paraId="3102DD9D">
            <w:pPr>
              <w:rPr>
                <w:rFonts w:ascii="Arial"/>
                <w:sz w:val="21"/>
              </w:rPr>
            </w:pPr>
          </w:p>
        </w:tc>
      </w:tr>
      <w:tr w14:paraId="245DE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14" w:type="dxa"/>
            <w:noWrap w:val="0"/>
            <w:vAlign w:val="top"/>
          </w:tcPr>
          <w:p w14:paraId="2A6FB043">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689" w:type="dxa"/>
            <w:noWrap w:val="0"/>
            <w:vAlign w:val="top"/>
          </w:tcPr>
          <w:p w14:paraId="30026FDB">
            <w:pPr>
              <w:jc w:val="center"/>
              <w:rPr>
                <w:rFonts w:ascii="Arial"/>
                <w:sz w:val="21"/>
              </w:rPr>
            </w:pPr>
          </w:p>
        </w:tc>
        <w:tc>
          <w:tcPr>
            <w:tcW w:w="1119" w:type="dxa"/>
            <w:noWrap w:val="0"/>
            <w:vAlign w:val="top"/>
          </w:tcPr>
          <w:p w14:paraId="1FFCE592">
            <w:pPr>
              <w:jc w:val="center"/>
              <w:rPr>
                <w:rFonts w:ascii="Arial"/>
                <w:sz w:val="21"/>
              </w:rPr>
            </w:pPr>
          </w:p>
        </w:tc>
        <w:tc>
          <w:tcPr>
            <w:tcW w:w="2647" w:type="dxa"/>
            <w:gridSpan w:val="3"/>
            <w:noWrap w:val="0"/>
            <w:vAlign w:val="top"/>
          </w:tcPr>
          <w:p w14:paraId="15D31258">
            <w:pPr>
              <w:jc w:val="center"/>
              <w:rPr>
                <w:rFonts w:ascii="Arial"/>
                <w:sz w:val="21"/>
              </w:rPr>
            </w:pPr>
          </w:p>
        </w:tc>
        <w:tc>
          <w:tcPr>
            <w:tcW w:w="1458" w:type="dxa"/>
            <w:noWrap w:val="0"/>
            <w:vAlign w:val="top"/>
          </w:tcPr>
          <w:p w14:paraId="2B33992F">
            <w:pPr>
              <w:jc w:val="center"/>
              <w:rPr>
                <w:rFonts w:ascii="Arial"/>
                <w:sz w:val="21"/>
              </w:rPr>
            </w:pPr>
          </w:p>
        </w:tc>
        <w:tc>
          <w:tcPr>
            <w:tcW w:w="1318" w:type="dxa"/>
            <w:gridSpan w:val="2"/>
            <w:noWrap w:val="0"/>
            <w:vAlign w:val="top"/>
          </w:tcPr>
          <w:p w14:paraId="627D83D1">
            <w:pPr>
              <w:jc w:val="center"/>
              <w:rPr>
                <w:rFonts w:ascii="Arial"/>
                <w:sz w:val="21"/>
              </w:rPr>
            </w:pPr>
          </w:p>
        </w:tc>
        <w:tc>
          <w:tcPr>
            <w:tcW w:w="884" w:type="dxa"/>
            <w:noWrap w:val="0"/>
            <w:vAlign w:val="top"/>
          </w:tcPr>
          <w:p w14:paraId="450B74F4">
            <w:pPr>
              <w:jc w:val="center"/>
              <w:rPr>
                <w:rFonts w:ascii="Arial"/>
                <w:sz w:val="21"/>
              </w:rPr>
            </w:pPr>
          </w:p>
        </w:tc>
      </w:tr>
      <w:tr w14:paraId="3DEF46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2BF5A9A9">
            <w:pPr>
              <w:spacing w:before="159" w:line="220" w:lineRule="auto"/>
              <w:ind w:left="175"/>
              <w:jc w:val="center"/>
              <w:rPr>
                <w:rFonts w:ascii="宋体" w:hAnsi="宋体" w:eastAsia="宋体" w:cs="宋体"/>
                <w:sz w:val="22"/>
                <w:szCs w:val="22"/>
              </w:rPr>
            </w:pPr>
            <w:r>
              <w:rPr>
                <w:rFonts w:ascii="宋体" w:hAnsi="宋体" w:eastAsia="宋体" w:cs="宋体"/>
                <w:b/>
                <w:bCs/>
                <w:spacing w:val="4"/>
                <w:sz w:val="22"/>
                <w:szCs w:val="22"/>
              </w:rPr>
              <w:t>总分</w:t>
            </w:r>
          </w:p>
        </w:tc>
        <w:tc>
          <w:tcPr>
            <w:tcW w:w="8115" w:type="dxa"/>
            <w:gridSpan w:val="9"/>
            <w:noWrap w:val="0"/>
            <w:vAlign w:val="top"/>
          </w:tcPr>
          <w:p w14:paraId="78321B67">
            <w:pPr>
              <w:jc w:val="center"/>
              <w:rPr>
                <w:rFonts w:hint="default" w:ascii="Arial" w:eastAsiaTheme="minorEastAsia"/>
                <w:sz w:val="21"/>
                <w:lang w:val="en-US" w:eastAsia="zh-CN"/>
              </w:rPr>
            </w:pPr>
            <w:r>
              <w:rPr>
                <w:rFonts w:hint="eastAsia" w:ascii="Arial"/>
                <w:sz w:val="21"/>
                <w:lang w:val="en-US" w:eastAsia="zh-CN"/>
              </w:rPr>
              <w:t>100</w:t>
            </w:r>
          </w:p>
        </w:tc>
      </w:tr>
      <w:tr w14:paraId="1F109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0B4751EC">
            <w:pPr>
              <w:jc w:val="center"/>
              <w:rPr>
                <w:rFonts w:ascii="宋体" w:hAnsi="宋体" w:eastAsia="宋体" w:cs="宋体"/>
                <w:b/>
                <w:bCs/>
                <w:spacing w:val="4"/>
                <w:sz w:val="22"/>
                <w:szCs w:val="22"/>
              </w:rPr>
            </w:pPr>
            <w:r>
              <w:rPr>
                <w:b/>
                <w:bCs/>
              </w:rPr>
              <w:t>偏差大或目标未完成原因分析</w:t>
            </w:r>
          </w:p>
        </w:tc>
        <w:tc>
          <w:tcPr>
            <w:tcW w:w="8115" w:type="dxa"/>
            <w:gridSpan w:val="9"/>
            <w:noWrap w:val="0"/>
            <w:vAlign w:val="top"/>
          </w:tcPr>
          <w:p w14:paraId="402CB8B8">
            <w:pPr>
              <w:jc w:val="center"/>
              <w:rPr>
                <w:rFonts w:hint="default" w:ascii="Arial"/>
                <w:sz w:val="21"/>
                <w:lang w:val="en-US" w:eastAsia="zh-CN"/>
              </w:rPr>
            </w:pPr>
            <w:r>
              <w:rPr>
                <w:rFonts w:hint="eastAsia" w:ascii="Arial"/>
                <w:sz w:val="21"/>
                <w:lang w:val="en-US" w:eastAsia="zh-CN"/>
              </w:rPr>
              <w:t>无</w:t>
            </w:r>
          </w:p>
        </w:tc>
      </w:tr>
      <w:tr w14:paraId="782B8C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14" w:type="dxa"/>
            <w:noWrap w:val="0"/>
            <w:vAlign w:val="top"/>
          </w:tcPr>
          <w:p w14:paraId="36999A8A">
            <w:pPr>
              <w:spacing w:before="159" w:line="220" w:lineRule="auto"/>
              <w:jc w:val="center"/>
              <w:rPr>
                <w:rFonts w:ascii="宋体" w:hAnsi="宋体" w:eastAsia="宋体" w:cs="宋体"/>
                <w:b/>
                <w:bCs/>
                <w:spacing w:val="4"/>
                <w:sz w:val="22"/>
                <w:szCs w:val="22"/>
              </w:rPr>
            </w:pPr>
            <w:r>
              <w:rPr>
                <w:b/>
                <w:bCs/>
              </w:rPr>
              <w:t>改进措施及  结果应用方案</w:t>
            </w:r>
          </w:p>
        </w:tc>
        <w:tc>
          <w:tcPr>
            <w:tcW w:w="8115" w:type="dxa"/>
            <w:gridSpan w:val="9"/>
            <w:noWrap w:val="0"/>
            <w:vAlign w:val="top"/>
          </w:tcPr>
          <w:p w14:paraId="41ED4E13">
            <w:pPr>
              <w:jc w:val="center"/>
              <w:rPr>
                <w:rFonts w:hint="default" w:ascii="Arial"/>
                <w:sz w:val="21"/>
                <w:lang w:val="en-US" w:eastAsia="zh-CN"/>
              </w:rPr>
            </w:pPr>
            <w:r>
              <w:rPr>
                <w:rFonts w:hint="eastAsia" w:ascii="Arial"/>
                <w:sz w:val="21"/>
                <w:lang w:val="en-US" w:eastAsia="zh-CN"/>
              </w:rPr>
              <w:t>无</w:t>
            </w:r>
          </w:p>
        </w:tc>
      </w:tr>
    </w:tbl>
    <w:p w14:paraId="58D3CB08">
      <w:pPr>
        <w:widowControl/>
        <w:numPr>
          <w:ilvl w:val="0"/>
          <w:numId w:val="0"/>
        </w:numPr>
        <w:shd w:val="clear" w:color="auto" w:fill="FFFFFF"/>
        <w:spacing w:line="453" w:lineRule="atLeast"/>
        <w:jc w:val="both"/>
        <w:rPr>
          <w:rFonts w:hint="eastAsia" w:ascii="Arial" w:hAnsi="Arial" w:eastAsia="宋体" w:cs="Arial"/>
          <w:b/>
          <w:bCs/>
          <w:color w:val="000000"/>
          <w:kern w:val="0"/>
          <w:sz w:val="29"/>
          <w:lang w:eastAsia="zh-CN"/>
        </w:rPr>
      </w:pPr>
      <w:r>
        <w:rPr>
          <w:rFonts w:ascii="Arial" w:hAnsi="Arial" w:eastAsia="宋体" w:cs="Arial"/>
          <w:b/>
          <w:bCs/>
          <w:color w:val="000000"/>
          <w:kern w:val="0"/>
          <w:sz w:val="29"/>
        </w:rPr>
        <w:t>（三）绩效评级结果应用情况</w:t>
      </w:r>
    </w:p>
    <w:p w14:paraId="4F09E141">
      <w:pPr>
        <w:widowControl/>
        <w:shd w:val="clear" w:color="auto" w:fill="FFFFFF"/>
        <w:spacing w:line="453" w:lineRule="atLeast"/>
        <w:ind w:firstLine="5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Arial" w:hAnsi="Arial" w:eastAsia="宋体" w:cs="Arial"/>
          <w:color w:val="000000"/>
          <w:kern w:val="0"/>
          <w:sz w:val="29"/>
          <w:szCs w:val="29"/>
          <w:lang w:val="en-US" w:eastAsia="zh-CN"/>
        </w:rPr>
        <w:t xml:space="preserve">    </w:t>
      </w:r>
      <w:r>
        <w:rPr>
          <w:rFonts w:hint="eastAsia" w:ascii="宋体" w:hAnsi="宋体" w:eastAsia="宋体" w:cs="宋体"/>
          <w:i w:val="0"/>
          <w:iCs w:val="0"/>
          <w:caps w:val="0"/>
          <w:color w:val="222222"/>
          <w:spacing w:val="0"/>
          <w:sz w:val="24"/>
          <w:szCs w:val="24"/>
          <w:shd w:val="clear" w:fill="FFFFFF"/>
          <w:lang w:val="en-US" w:eastAsia="zh-CN"/>
        </w:rPr>
        <w:t>1.部门绩效评价结果应用情况</w:t>
      </w:r>
    </w:p>
    <w:p w14:paraId="1FA12666">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加强绩效评价结果应用，我单位将绩效自评结果作为以后年度该项目预算编制和安排财政资金的重要参考依据；将绩效自评结果按照要求向社会公开，自觉接受社会监督。</w:t>
      </w:r>
    </w:p>
    <w:p w14:paraId="6769186A">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i w:val="0"/>
          <w:iCs w:val="0"/>
          <w:caps w:val="0"/>
          <w:color w:val="222222"/>
          <w:spacing w:val="0"/>
          <w:sz w:val="24"/>
          <w:szCs w:val="24"/>
          <w:shd w:val="clear" w:fill="FFFFFF"/>
          <w:lang w:val="en-US" w:eastAsia="zh-CN"/>
        </w:rPr>
        <w:t xml:space="preserve">    2.部门绩效评价结果拟应用情况</w:t>
      </w:r>
    </w:p>
    <w:p w14:paraId="477C7E66">
      <w:pPr>
        <w:widowControl/>
        <w:shd w:val="clear" w:color="auto" w:fill="FFFFFF"/>
        <w:spacing w:line="453" w:lineRule="atLeast"/>
        <w:ind w:firstLine="480" w:firstLineChars="200"/>
        <w:jc w:val="both"/>
        <w:rPr>
          <w:rFonts w:hint="eastAsia" w:ascii="宋体" w:hAnsi="宋体" w:eastAsia="宋体" w:cs="宋体"/>
          <w:i w:val="0"/>
          <w:iCs w:val="0"/>
          <w:caps w:val="0"/>
          <w:color w:val="222222"/>
          <w:spacing w:val="0"/>
          <w:sz w:val="24"/>
          <w:szCs w:val="24"/>
          <w:shd w:val="clear" w:fill="FFFFFF"/>
          <w:lang w:val="en-US" w:eastAsia="zh-CN"/>
        </w:rPr>
        <w:sectPr>
          <w:footerReference r:id="rId3" w:type="default"/>
          <w:pgSz w:w="11900" w:h="16820"/>
          <w:pgMar w:top="1429" w:right="1445" w:bottom="1218" w:left="1494" w:header="0" w:footer="1079" w:gutter="0"/>
          <w:cols w:space="720" w:num="1"/>
        </w:sectPr>
      </w:pPr>
      <w:r>
        <w:rPr>
          <w:rFonts w:hint="eastAsia" w:ascii="宋体" w:hAnsi="宋体" w:eastAsia="宋体" w:cs="宋体"/>
          <w:i w:val="0"/>
          <w:iCs w:val="0"/>
          <w:caps w:val="0"/>
          <w:color w:val="222222"/>
          <w:spacing w:val="0"/>
          <w:sz w:val="24"/>
          <w:szCs w:val="24"/>
          <w:shd w:val="clear" w:fill="FFFFFF"/>
          <w:lang w:val="en-US" w:eastAsia="zh-CN"/>
        </w:rPr>
        <w:t>我单位将绩效自评结果与2021年预算编制相结合，对实施效果好的项目优先保障项目资金预算，并在编制预算的过程中，对绩效目标及指标进行梳理完善，完成绩效指标编制自评工作。同时加强内部控制管理，建立项目绩效考核机制，促进项目产出及效益提升，将绩效管理工作落到实处。</w:t>
      </w:r>
    </w:p>
    <w:p w14:paraId="0AD668F1">
      <w:pPr>
        <w:widowControl/>
        <w:shd w:val="clear" w:color="auto" w:fill="FFFFFF"/>
        <w:spacing w:line="453" w:lineRule="atLeast"/>
        <w:jc w:val="both"/>
        <w:rPr>
          <w:rStyle w:val="4"/>
          <w:rFonts w:hint="eastAsia" w:ascii="宋体" w:hAnsi="宋体" w:eastAsia="宋体" w:cs="宋体"/>
          <w:i w:val="0"/>
          <w:iCs w:val="0"/>
          <w:caps w:val="0"/>
          <w:color w:val="222222"/>
          <w:spacing w:val="0"/>
          <w:sz w:val="28"/>
          <w:szCs w:val="28"/>
          <w:lang w:eastAsia="zh-CN"/>
        </w:rPr>
      </w:pPr>
      <w:r>
        <w:rPr>
          <w:rStyle w:val="4"/>
          <w:rFonts w:hint="eastAsia" w:ascii="宋体" w:hAnsi="宋体" w:eastAsia="宋体" w:cs="宋体"/>
          <w:i w:val="0"/>
          <w:iCs w:val="0"/>
          <w:caps w:val="0"/>
          <w:color w:val="222222"/>
          <w:spacing w:val="0"/>
          <w:sz w:val="28"/>
          <w:szCs w:val="28"/>
        </w:rPr>
        <w:t>第四部分、名词解释</w:t>
      </w:r>
    </w:p>
    <w:p w14:paraId="5E94C465">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一、财政拨款收入：指财政部门当年拨付的资金。</w:t>
      </w:r>
    </w:p>
    <w:p w14:paraId="33EF4728">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二、事业收入：指事业单位开展专业业务活动及辅助活动所取得的收入。</w:t>
      </w:r>
    </w:p>
    <w:p w14:paraId="55B752D1">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三、经营收入：指事业单位在专业业务活动及其辅助活动之外开展非独立核算经营活动取得的收入。</w:t>
      </w:r>
    </w:p>
    <w:p w14:paraId="367D0CCE">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四、其他收入：指除上述“财政拨款收入”、“事业收入”、“经营收入”等以外的收入。</w:t>
      </w:r>
    </w:p>
    <w:p w14:paraId="7148868B">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14:paraId="0EDDFC20">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六、年初结转和结余：指以前年度尚未完成、结转到本年 按有关规定继续使用的资金。</w:t>
      </w:r>
    </w:p>
    <w:p w14:paraId="203CAA4C">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七、结余分配：指事业单位按规定提取的职工福利基金、事业基金和缴纳的所得税，以及建设单位按规定应交回的基本建设竣工项目结余资金。</w:t>
      </w:r>
    </w:p>
    <w:p w14:paraId="45E0069E">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八、年末结转和结余：指本年度或以前年度预算安排、因客观条件发生变化无法按原计划实施，需要延迟到以后年度按有关规定继续使用的资金。</w:t>
      </w:r>
    </w:p>
    <w:p w14:paraId="109D8CF2">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九、基本支出：指为保障机构正常运转、完成日常工作任务而发生的人员支出和公用支出。</w:t>
      </w:r>
    </w:p>
    <w:p w14:paraId="625A46EA">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十、项目支出：指在基本支出之外为完成特定行政任务和事业发展目标所发生的支出。</w:t>
      </w:r>
    </w:p>
    <w:p w14:paraId="5A9B9603">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十一、经营支出：指事业单位在专业业务活动及其辅助活动之外开展非独立核算经营活动发生的支出。</w:t>
      </w:r>
    </w:p>
    <w:p w14:paraId="38285FC5">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2495E9D8">
      <w:pPr>
        <w:widowControl/>
        <w:shd w:val="clear" w:color="auto" w:fill="FFFFFF"/>
        <w:spacing w:line="453" w:lineRule="atLeast"/>
        <w:jc w:val="both"/>
        <w:rPr>
          <w:rFonts w:hint="default" w:ascii="宋体" w:hAnsi="宋体" w:eastAsia="宋体" w:cs="宋体"/>
          <w:i w:val="0"/>
          <w:iCs w:val="0"/>
          <w:caps w:val="0"/>
          <w:color w:val="222222"/>
          <w:spacing w:val="0"/>
          <w:sz w:val="24"/>
          <w:szCs w:val="24"/>
          <w:shd w:val="clear" w:fill="FFFFFF"/>
          <w:lang w:val="en-US" w:eastAsia="zh-CN"/>
        </w:rPr>
      </w:pPr>
      <w:r>
        <w:rPr>
          <w:rFonts w:hint="default" w:ascii="宋体" w:hAnsi="宋体" w:eastAsia="宋体" w:cs="宋体"/>
          <w:i w:val="0"/>
          <w:iCs w:val="0"/>
          <w:caps w:val="0"/>
          <w:color w:val="222222"/>
          <w:spacing w:val="0"/>
          <w:sz w:val="24"/>
          <w:szCs w:val="24"/>
          <w:shd w:val="clear" w:fill="FFFFFF"/>
          <w:lang w:val="en-US" w:eastAsia="zh-CN"/>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F5BAD9A">
      <w:pPr>
        <w:widowControl/>
        <w:shd w:val="clear" w:color="auto" w:fill="FFFFFF"/>
        <w:spacing w:line="453" w:lineRule="atLeast"/>
        <w:jc w:val="both"/>
        <w:rPr>
          <w:rFonts w:hint="eastAsia" w:ascii="宋体" w:hAnsi="宋体" w:eastAsia="宋体" w:cs="宋体"/>
          <w:i w:val="0"/>
          <w:iCs w:val="0"/>
          <w:caps w:val="0"/>
          <w:color w:val="222222"/>
          <w:spacing w:val="0"/>
          <w:sz w:val="24"/>
          <w:szCs w:val="24"/>
          <w:shd w:val="clear" w:fill="FFFFFF"/>
          <w:lang w:val="en-US" w:eastAsia="zh-CN"/>
        </w:rPr>
      </w:pPr>
    </w:p>
    <w:p w14:paraId="46E5CF85">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6F076E2E">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3C2BD863">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34834F7B">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3FD9C474">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37E22EB1">
      <w:pPr>
        <w:widowControl/>
        <w:shd w:val="clear" w:color="auto" w:fill="FFFFFF"/>
        <w:spacing w:line="453" w:lineRule="atLeast"/>
        <w:jc w:val="both"/>
        <w:rPr>
          <w:rFonts w:hint="eastAsia" w:ascii="Arial" w:hAnsi="Arial" w:eastAsia="宋体" w:cs="Arial"/>
          <w:i w:val="0"/>
          <w:iCs w:val="0"/>
          <w:caps w:val="0"/>
          <w:color w:val="222222"/>
          <w:spacing w:val="0"/>
          <w:sz w:val="18"/>
          <w:szCs w:val="18"/>
          <w:shd w:val="clear" w:fill="FFFFFF"/>
          <w:lang w:eastAsia="zh-CN"/>
        </w:rPr>
      </w:pPr>
      <w:r>
        <w:rPr>
          <w:rFonts w:hint="default" w:ascii="Arial" w:hAnsi="Arial" w:eastAsia="宋体" w:cs="Arial"/>
          <w:i w:val="0"/>
          <w:iCs w:val="0"/>
          <w:caps w:val="0"/>
          <w:color w:val="222222"/>
          <w:spacing w:val="0"/>
          <w:sz w:val="18"/>
          <w:szCs w:val="18"/>
          <w:shd w:val="clear" w:fill="FFFFFF"/>
        </w:rPr>
        <w:t> </w:t>
      </w:r>
    </w:p>
    <w:p w14:paraId="56472692">
      <w:pPr>
        <w:widowControl/>
        <w:shd w:val="clear" w:color="auto" w:fill="FFFFFF"/>
        <w:spacing w:line="453" w:lineRule="atLeast"/>
        <w:jc w:val="both"/>
      </w:pPr>
      <w:r>
        <w:rPr>
          <w:rFonts w:hint="default" w:ascii="Arial" w:hAnsi="Arial" w:eastAsia="宋体" w:cs="Arial"/>
          <w:i w:val="0"/>
          <w:iCs w:val="0"/>
          <w:caps w:val="0"/>
          <w:color w:val="222222"/>
          <w:spacing w:val="0"/>
          <w:sz w:val="18"/>
          <w:szCs w:val="18"/>
          <w:shd w:val="clear" w:fill="FFFFFF"/>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A5ECD">
    <w:pPr>
      <w:spacing w:line="183" w:lineRule="auto"/>
      <w:ind w:left="4335"/>
      <w:rPr>
        <w:rFonts w:ascii="宋体" w:hAnsi="宋体" w:eastAsia="宋体" w:cs="宋体"/>
        <w:sz w:val="13"/>
        <w:szCs w:val="13"/>
      </w:rPr>
    </w:pPr>
    <w:r>
      <w:rPr>
        <w:rFonts w:ascii="宋体" w:hAnsi="宋体" w:eastAsia="宋体" w:cs="宋体"/>
        <w:spacing w:val="-4"/>
        <w:sz w:val="13"/>
        <w:szCs w:val="13"/>
      </w:rPr>
      <w:t>11</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C4574"/>
    <w:multiLevelType w:val="singleLevel"/>
    <w:tmpl w:val="8F3C457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kMzAwMWE2Y2Y2MjI1OTI0YWFjMTQ2MGRiYzE2Y2MifQ=="/>
  </w:docVars>
  <w:rsids>
    <w:rsidRoot w:val="26E37410"/>
    <w:rsid w:val="26E37410"/>
    <w:rsid w:val="35286B57"/>
    <w:rsid w:val="417E3BBC"/>
    <w:rsid w:val="470E067E"/>
    <w:rsid w:val="66D14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customStyle="1" w:styleId="5">
    <w:name w:val="font21"/>
    <w:basedOn w:val="3"/>
    <w:qFormat/>
    <w:uiPriority w:val="0"/>
    <w:rPr>
      <w:rFonts w:hint="eastAsia" w:ascii="宋体" w:hAnsi="宋体" w:eastAsia="宋体" w:cs="宋体"/>
      <w:color w:val="333333"/>
      <w:sz w:val="18"/>
      <w:szCs w:val="18"/>
      <w:u w:val="none"/>
    </w:rPr>
  </w:style>
  <w:style w:type="table" w:customStyle="1" w:styleId="6">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6760</Words>
  <Characters>7636</Characters>
  <Lines>0</Lines>
  <Paragraphs>0</Paragraphs>
  <TotalTime>6</TotalTime>
  <ScaleCrop>false</ScaleCrop>
  <LinksUpToDate>false</LinksUpToDate>
  <CharactersWithSpaces>7779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2023-08-22T01:09:00Z</dcterms:created>
  <dc:creator>莲牵夕梦</dc:creator>
  <cp:lastModifiedBy>时间的尽头</cp:lastModifiedBy>
  <dcterms:modified xsi:type="dcterms:W3CDTF">2025-02-27T01:25:00Z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B3EE297BB761480188F21B702DECAA27_11</vt:lpwstr>
  </property>
  <property fmtid="{D5CDD505-2E9C-101B-9397-08002B2CF9AE}" pid="4" name="KSOTemplateDocerSaveRecord">
    <vt:lpwstr>eyJoZGlkIjoiOTc4OTdhNTgyZmEzODBmNjY4YjAzM2FjZjRjYmE5ZDgiLCJ1c2VySWQiOiI1NTk0Mjk4NTAifQ==</vt:lpwstr>
  </property>
</Properties>
</file>