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eastAsia" w:ascii="宋体" w:hAnsi="宋体" w:eastAsia="宋体" w:cs="宋体"/>
          <w:i w:val="0"/>
          <w:iCs w:val="0"/>
          <w:caps w:val="0"/>
          <w:color w:val="222222"/>
          <w:spacing w:val="0"/>
          <w:kern w:val="0"/>
          <w:sz w:val="44"/>
          <w:szCs w:val="44"/>
          <w:lang w:val="en-US" w:eastAsia="zh-CN" w:bidi="ar"/>
        </w:rPr>
      </w:pPr>
      <w:r>
        <w:rPr>
          <w:rFonts w:hint="eastAsia" w:ascii="宋体" w:hAnsi="宋体" w:eastAsia="宋体" w:cs="宋体"/>
          <w:i w:val="0"/>
          <w:iCs w:val="0"/>
          <w:caps w:val="0"/>
          <w:color w:val="222222"/>
          <w:spacing w:val="0"/>
          <w:kern w:val="0"/>
          <w:sz w:val="44"/>
          <w:szCs w:val="44"/>
          <w:lang w:val="en-US" w:eastAsia="zh-CN" w:bidi="ar"/>
        </w:rPr>
        <w:t>黄石市下陆区新下陆街道办事处</w:t>
      </w:r>
    </w:p>
    <w:p>
      <w:pPr>
        <w:keepNext w:val="0"/>
        <w:keepLines w:val="0"/>
        <w:widowControl/>
        <w:suppressLineNumbers w:val="0"/>
        <w:ind w:left="0" w:firstLine="0"/>
        <w:jc w:val="center"/>
        <w:rPr>
          <w:rFonts w:hint="eastAsia" w:ascii="宋体" w:hAnsi="宋体" w:eastAsia="宋体" w:cs="宋体"/>
          <w:i w:val="0"/>
          <w:iCs w:val="0"/>
          <w:caps w:val="0"/>
          <w:color w:val="222222"/>
          <w:spacing w:val="0"/>
          <w:kern w:val="0"/>
          <w:sz w:val="44"/>
          <w:szCs w:val="44"/>
          <w:lang w:val="en-US" w:eastAsia="zh-CN" w:bidi="ar"/>
        </w:rPr>
      </w:pPr>
      <w:r>
        <w:rPr>
          <w:rFonts w:hint="eastAsia" w:ascii="宋体" w:hAnsi="宋体" w:eastAsia="宋体" w:cs="宋体"/>
          <w:i w:val="0"/>
          <w:iCs w:val="0"/>
          <w:caps w:val="0"/>
          <w:color w:val="222222"/>
          <w:spacing w:val="0"/>
          <w:kern w:val="0"/>
          <w:sz w:val="44"/>
          <w:szCs w:val="44"/>
          <w:lang w:val="en-US" w:eastAsia="zh-CN" w:bidi="ar"/>
        </w:rPr>
        <w:t>2021年度部门决算公开说明</w:t>
      </w:r>
    </w:p>
    <w:p>
      <w:pPr>
        <w:keepNext w:val="0"/>
        <w:keepLines w:val="0"/>
        <w:widowControl/>
        <w:suppressLineNumbers w:val="0"/>
        <w:ind w:left="0" w:firstLine="0"/>
        <w:jc w:val="center"/>
        <w:rPr>
          <w:rFonts w:hint="default" w:ascii="Arial" w:hAnsi="Arial" w:eastAsia="宋体" w:cs="Arial"/>
          <w:i w:val="0"/>
          <w:iCs w:val="0"/>
          <w:caps w:val="0"/>
          <w:color w:val="222222"/>
          <w:spacing w:val="0"/>
          <w:kern w:val="0"/>
          <w:sz w:val="36"/>
          <w:szCs w:val="36"/>
          <w:lang w:val="en-US" w:eastAsia="zh-CN" w:bidi="ar"/>
        </w:rPr>
      </w:pPr>
      <w:r>
        <w:rPr>
          <w:rFonts w:hint="default" w:ascii="Arial" w:hAnsi="Arial" w:eastAsia="宋体" w:cs="Arial"/>
          <w:i w:val="0"/>
          <w:iCs w:val="0"/>
          <w:caps w:val="0"/>
          <w:color w:val="222222"/>
          <w:spacing w:val="0"/>
          <w:kern w:val="0"/>
          <w:sz w:val="36"/>
          <w:szCs w:val="36"/>
          <w:lang w:val="en-US" w:eastAsia="zh-CN" w:bidi="ar"/>
        </w:rPr>
        <w:t>目  录</w:t>
      </w:r>
    </w:p>
    <w:p>
      <w:pPr>
        <w:keepNext w:val="0"/>
        <w:keepLines w:val="0"/>
        <w:widowControl/>
        <w:suppressLineNumbers w:val="0"/>
        <w:ind w:left="0" w:firstLine="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第一部分:部门基本情况</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lang w:val="en-US" w:eastAsia="zh-CN"/>
        </w:rPr>
        <w:t>一、</w:t>
      </w:r>
      <w:r>
        <w:rPr>
          <w:rFonts w:hint="eastAsia" w:ascii="宋体" w:hAnsi="宋体" w:eastAsia="宋体" w:cs="宋体"/>
          <w:i w:val="0"/>
          <w:iCs w:val="0"/>
          <w:caps w:val="0"/>
          <w:color w:val="222222"/>
          <w:spacing w:val="0"/>
          <w:sz w:val="24"/>
          <w:szCs w:val="24"/>
          <w:shd w:val="clear" w:fill="FFFFFF"/>
        </w:rPr>
        <w:t>部门主要职责</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二、部门机构设置情况</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第二部分: 部门2021年部门决算表</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一、收入支出决算总表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二、收入决算表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三、支出决算表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四、财政拨款收入支出决算总表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五、一般公共预算财政拨款支出决算表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六、一般公共预算财政拨款基本支出决算表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七、一般公共预算财政拨款“三公”经费支出决算表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八、政府性基金预算财政拨款收入支出决算表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九、国有资本经营预算财政拨款支出决算表</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第三部分：部门2021年部门决算情况说明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一、收支总体情况说明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二、决算收入支出增减变化情况说明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三、财政拨款收入支出决算情况说明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四、一般公共预算财政拨款支出决算情况说明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五、一般公共预算财政拨款基本支出决算情况说明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六、一般公共预算财政拨款“三公”经费支出决算情况说明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七、机关运行费执行情况说明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八、政府采购支出情况说明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九、国有资产占用情况说明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十、其他情况</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十一、预算绩效情况说明</w:t>
      </w:r>
    </w:p>
    <w:p>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第四部分：名词解释</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p>
    <w:p>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一、部门主要职责</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1、贯彻落实国家、省、市相关法律、法规、政策和区委、区政府的重大决策及工作部署，领导和组织辖区内各项工作，认真履行各项管理职能。</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2、负责辖区党建和基层组织建设工作，加强社区党组织书记队伍，负责选配社区“两委班子”。</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3、负责人民武装工作；负责辖区城市管理、房屋土地征收、公共服务、民政、司法、计划生育、人社等社会管理和服务工作，指导社区居民自治组织建设。</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4、负责辖区社会稳定，办理群众来信来访，开展人民调解和社区网格化管理。</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5、监督辖区内社区资源、资产、资金的管理使用。建立健全社区财务管理制度，推进社区财务规范化管理。</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6、负责森林防火、防汛抗旱及安全生产工作。协助开展食品药品监管、公共卫生服务工作。</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7、负责协调辖区单位广泛参与社区建设及社会化管理工作，指导社区与辖区单位签订共驻共建协议，实现辖区单位与社区共驻共建、资源共享。</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8、指导社区整合各种资源，服务项目建设，协助城市建设；充分调动社区广大党员、群众的积极性，全面参与社区建设。</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9、完成上级交办的其他任务。</w:t>
      </w:r>
    </w:p>
    <w:p>
      <w:pPr>
        <w:keepNext w:val="0"/>
        <w:keepLines w:val="0"/>
        <w:widowControl/>
        <w:suppressLineNumbers w:val="0"/>
        <w:ind w:left="0" w:firstLine="0"/>
        <w:jc w:val="left"/>
        <w:rPr>
          <w:rStyle w:val="4"/>
          <w:rFonts w:hint="eastAsia" w:asciiTheme="majorEastAsia" w:hAnsiTheme="majorEastAsia" w:eastAsiaTheme="majorEastAsia" w:cstheme="majorEastAsia"/>
          <w:i w:val="0"/>
          <w:iCs w:val="0"/>
          <w:caps w:val="0"/>
          <w:color w:val="222222"/>
          <w:spacing w:val="0"/>
          <w:sz w:val="28"/>
          <w:szCs w:val="28"/>
          <w:lang w:eastAsia="zh-CN"/>
        </w:rPr>
      </w:pPr>
      <w:r>
        <w:rPr>
          <w:rStyle w:val="4"/>
          <w:rFonts w:hint="eastAsia" w:asciiTheme="majorEastAsia" w:hAnsiTheme="majorEastAsia" w:eastAsiaTheme="majorEastAsia" w:cstheme="majorEastAsia"/>
          <w:i w:val="0"/>
          <w:iCs w:val="0"/>
          <w:caps w:val="0"/>
          <w:color w:val="222222"/>
          <w:spacing w:val="0"/>
          <w:sz w:val="28"/>
          <w:szCs w:val="28"/>
        </w:rPr>
        <w:t>二、部门机构设置情况</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1、机构设置情况：</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2021年7月，根据《黄石市下陆区机构改革方案》等文件精神，设立了新下陆街道党工委和街道办事处，街道党工委主要职责是抓党建、抓治理、抓服务。街道办事处负责本辖区公共管理、公共服务、公共安全等各项行政管理工作。根据有关法律、法规规定，街道主要履行下列职责：（1）加强基层党建。（2）统筹区域发展。（3）组织公共服务。（4）实施综合管理。（5）动员社会参与。（6）指导社区自治。（7）维护公共安全。（8）承担区委、区政府交办的其他工作。内设党政综合办公室（人大办公室）、政法办公室（应急办公室）、社会事务办公室（民政办公室）。下属事业单位：1、便民服务中心（综合文化站）。2、社会治安综合治理服务中心。3、城市治理服务中心。</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2、编制情况：核定新下陆街道办事处行政编制11名、事业编制16名。设党政领导职数7名，设中心主任各1名（副科级）。现在新街办实有正式职工人数22人，其中：行编10人、事业编12人。退伍安置人员1人，临时聘用人员53人。</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w:t>
      </w:r>
    </w:p>
    <w:p>
      <w:pPr>
        <w:keepNext w:val="0"/>
        <w:keepLines w:val="0"/>
        <w:widowControl/>
        <w:suppressLineNumbers w:val="0"/>
        <w:ind w:left="0" w:firstLine="0"/>
        <w:jc w:val="left"/>
        <w:rPr>
          <w:rStyle w:val="4"/>
          <w:rFonts w:hint="eastAsia" w:asciiTheme="majorEastAsia" w:hAnsiTheme="majorEastAsia" w:eastAsiaTheme="majorEastAsia" w:cstheme="majorEastAsia"/>
          <w:i w:val="0"/>
          <w:iCs w:val="0"/>
          <w:caps w:val="0"/>
          <w:color w:val="222222"/>
          <w:spacing w:val="0"/>
          <w:sz w:val="28"/>
          <w:szCs w:val="28"/>
          <w:lang w:eastAsia="zh-CN"/>
        </w:rPr>
      </w:pPr>
      <w:r>
        <w:rPr>
          <w:rStyle w:val="4"/>
          <w:rFonts w:hint="eastAsia" w:asciiTheme="majorEastAsia" w:hAnsiTheme="majorEastAsia" w:eastAsiaTheme="majorEastAsia" w:cstheme="majorEastAsia"/>
          <w:i w:val="0"/>
          <w:iCs w:val="0"/>
          <w:caps w:val="0"/>
          <w:color w:val="222222"/>
          <w:spacing w:val="0"/>
          <w:sz w:val="28"/>
          <w:szCs w:val="28"/>
        </w:rPr>
        <w:t>第二部分: 部门2021年部门决算表</w:t>
      </w:r>
    </w:p>
    <w:p>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1、收入支出决算总表</w:t>
      </w:r>
    </w:p>
    <w:p>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lang w:eastAsia="zh-CN"/>
        </w:rPr>
      </w:pPr>
      <w:r>
        <w:rPr>
          <w:rFonts w:hint="default" w:ascii="Arial" w:hAnsi="Arial" w:eastAsia="宋体" w:cs="Arial"/>
          <w:i w:val="0"/>
          <w:iCs w:val="0"/>
          <w:caps w:val="0"/>
          <w:color w:val="222222"/>
          <w:spacing w:val="0"/>
          <w:sz w:val="18"/>
          <w:szCs w:val="18"/>
        </w:rPr>
        <w:drawing>
          <wp:inline distT="0" distB="0" distL="114300" distR="114300">
            <wp:extent cx="5695950" cy="4597400"/>
            <wp:effectExtent l="0" t="0" r="0"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695950" cy="4597400"/>
                    </a:xfrm>
                    <a:prstGeom prst="rect">
                      <a:avLst/>
                    </a:prstGeom>
                    <a:noFill/>
                    <a:ln w="9525">
                      <a:noFill/>
                    </a:ln>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2、收入决算表</w:t>
      </w:r>
    </w:p>
    <w:p>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lang w:eastAsia="zh-CN"/>
        </w:rPr>
      </w:pPr>
      <w:r>
        <w:rPr>
          <w:rFonts w:hint="default" w:ascii="Arial" w:hAnsi="Arial" w:eastAsia="宋体" w:cs="Arial"/>
          <w:i w:val="0"/>
          <w:iCs w:val="0"/>
          <w:caps w:val="0"/>
          <w:color w:val="222222"/>
          <w:spacing w:val="0"/>
          <w:sz w:val="18"/>
          <w:szCs w:val="18"/>
        </w:rPr>
        <w:drawing>
          <wp:inline distT="0" distB="0" distL="114300" distR="114300">
            <wp:extent cx="5636260" cy="2632075"/>
            <wp:effectExtent l="0" t="0" r="2540" b="1587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5636260" cy="2632075"/>
                    </a:xfrm>
                    <a:prstGeom prst="rect">
                      <a:avLst/>
                    </a:prstGeom>
                    <a:noFill/>
                    <a:ln w="9525">
                      <a:noFill/>
                    </a:ln>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3、支出决算表</w:t>
      </w:r>
    </w:p>
    <w:p>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lang w:eastAsia="zh-CN"/>
        </w:rPr>
      </w:pPr>
      <w:r>
        <w:rPr>
          <w:rFonts w:hint="default" w:ascii="Arial" w:hAnsi="Arial" w:eastAsia="宋体" w:cs="Arial"/>
          <w:i w:val="0"/>
          <w:iCs w:val="0"/>
          <w:caps w:val="0"/>
          <w:color w:val="222222"/>
          <w:spacing w:val="0"/>
          <w:sz w:val="18"/>
          <w:szCs w:val="18"/>
        </w:rPr>
        <w:drawing>
          <wp:inline distT="0" distB="0" distL="114300" distR="114300">
            <wp:extent cx="5579110" cy="3025775"/>
            <wp:effectExtent l="0" t="0" r="2540" b="317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7"/>
                    <a:stretch>
                      <a:fillRect/>
                    </a:stretch>
                  </pic:blipFill>
                  <pic:spPr>
                    <a:xfrm>
                      <a:off x="0" y="0"/>
                      <a:ext cx="5579110" cy="3025775"/>
                    </a:xfrm>
                    <a:prstGeom prst="rect">
                      <a:avLst/>
                    </a:prstGeom>
                    <a:noFill/>
                    <a:ln w="9525">
                      <a:noFill/>
                    </a:ln>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4、财政拨款收入支出决算总表</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875655" cy="4399280"/>
            <wp:effectExtent l="0" t="0" r="10795" b="127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8"/>
                    <a:stretch>
                      <a:fillRect/>
                    </a:stretch>
                  </pic:blipFill>
                  <pic:spPr>
                    <a:xfrm>
                      <a:off x="0" y="0"/>
                      <a:ext cx="5875655" cy="4399280"/>
                    </a:xfrm>
                    <a:prstGeom prst="rect">
                      <a:avLst/>
                    </a:prstGeom>
                    <a:noFill/>
                    <a:ln w="9525">
                      <a:noFill/>
                    </a:ln>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5、一般公共预算财政拨款支出决算表</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828030" cy="4162425"/>
            <wp:effectExtent l="0" t="0" r="1270" b="952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9"/>
                    <a:stretch>
                      <a:fillRect/>
                    </a:stretch>
                  </pic:blipFill>
                  <pic:spPr>
                    <a:xfrm>
                      <a:off x="0" y="0"/>
                      <a:ext cx="5828030" cy="4162425"/>
                    </a:xfrm>
                    <a:prstGeom prst="rect">
                      <a:avLst/>
                    </a:prstGeom>
                    <a:noFill/>
                    <a:ln w="9525">
                      <a:noFill/>
                    </a:ln>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6、一般公共预算财政拨款基本支出决算表</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918200" cy="3519170"/>
            <wp:effectExtent l="0" t="0" r="6350" b="508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10"/>
                    <a:stretch>
                      <a:fillRect/>
                    </a:stretch>
                  </pic:blipFill>
                  <pic:spPr>
                    <a:xfrm>
                      <a:off x="0" y="0"/>
                      <a:ext cx="5918200" cy="3519170"/>
                    </a:xfrm>
                    <a:prstGeom prst="rect">
                      <a:avLst/>
                    </a:prstGeom>
                    <a:noFill/>
                    <a:ln w="9525">
                      <a:noFill/>
                    </a:ln>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7、财政拨款“三公”经费支出决算表</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873750" cy="1266825"/>
            <wp:effectExtent l="0" t="0" r="12700"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1"/>
                    <a:stretch>
                      <a:fillRect/>
                    </a:stretch>
                  </pic:blipFill>
                  <pic:spPr>
                    <a:xfrm>
                      <a:off x="0" y="0"/>
                      <a:ext cx="5873750" cy="1266825"/>
                    </a:xfrm>
                    <a:prstGeom prst="rect">
                      <a:avLst/>
                    </a:prstGeom>
                    <a:noFill/>
                    <a:ln w="9525">
                      <a:noFill/>
                    </a:ln>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8、政府性基金预算财政拨款收入支出决算表</w:t>
      </w:r>
      <w:r>
        <w:rPr>
          <w:rFonts w:hint="eastAsia" w:asciiTheme="minorEastAsia" w:hAnsiTheme="minorEastAsia" w:eastAsiaTheme="minorEastAsia" w:cstheme="minorEastAsia"/>
          <w:i w:val="0"/>
          <w:iCs w:val="0"/>
          <w:caps w:val="0"/>
          <w:color w:val="222222"/>
          <w:spacing w:val="0"/>
          <w:sz w:val="28"/>
          <w:szCs w:val="28"/>
          <w:shd w:val="clear" w:fill="FFFFFF"/>
        </w:rPr>
        <w:drawing>
          <wp:inline distT="0" distB="0" distL="114300" distR="114300">
            <wp:extent cx="5690235" cy="1325880"/>
            <wp:effectExtent l="0" t="0" r="5715" b="7620"/>
            <wp:docPr id="10" name="图片 10" descr="表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表8"/>
                    <pic:cNvPicPr>
                      <a:picLocks noChangeAspect="1"/>
                    </pic:cNvPicPr>
                  </pic:nvPicPr>
                  <pic:blipFill>
                    <a:blip r:embed="rId12"/>
                    <a:stretch>
                      <a:fillRect/>
                    </a:stretch>
                  </pic:blipFill>
                  <pic:spPr>
                    <a:xfrm>
                      <a:off x="0" y="0"/>
                      <a:ext cx="5690235" cy="1325880"/>
                    </a:xfrm>
                    <a:prstGeom prst="rect">
                      <a:avLst/>
                    </a:prstGeom>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9、国有资本经营预算财政拨款支出决算表</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lang w:eastAsia="zh-CN"/>
        </w:rPr>
        <w:drawing>
          <wp:inline distT="0" distB="0" distL="114300" distR="114300">
            <wp:extent cx="5687695" cy="2369820"/>
            <wp:effectExtent l="0" t="0" r="8255" b="11430"/>
            <wp:docPr id="11" name="图片 11" descr="表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表9"/>
                    <pic:cNvPicPr>
                      <a:picLocks noChangeAspect="1"/>
                    </pic:cNvPicPr>
                  </pic:nvPicPr>
                  <pic:blipFill>
                    <a:blip r:embed="rId13"/>
                    <a:stretch>
                      <a:fillRect/>
                    </a:stretch>
                  </pic:blipFill>
                  <pic:spPr>
                    <a:xfrm>
                      <a:off x="0" y="0"/>
                      <a:ext cx="5687695" cy="2369820"/>
                    </a:xfrm>
                    <a:prstGeom prst="rect">
                      <a:avLst/>
                    </a:prstGeom>
                  </pic:spPr>
                </pic:pic>
              </a:graphicData>
            </a:graphic>
          </wp:inline>
        </w:drawing>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bookmarkStart w:id="0" w:name="_GoBack"/>
      <w:bookmarkEnd w:id="0"/>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p>
    <w:p>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第三部分：部门2021年部门决算情况说明</w:t>
      </w:r>
    </w:p>
    <w:p>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一、收支总体情况说明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度决算总收入合计4339.91万元，较2020年度决算总收入4465.71万元下降了125.8万元，2021年度决算总支出合计6922.25万元，较2020年度决算总支出1049.58万元增加了5872.67万元，原因是社会事务向基层转移社会事务专项工作经费增加。</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二、2021年度决算收入支出增减变化情况</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度决算收入合计4339.91万元，其中：财政拨款收入4339.91万元，占总收入的100%，其他收入0万元，占总收入的0%。2021年决算收入较上年收入4465.71万元下降了125.8万元，降幅2.82%，原因是厉行节约减少办公经费支出。决算收入与年初预算数837.32万元相比增加3502.59万元，主要原因是住房保证支出未纳入年初预算支出内。</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度支出6922.25万元，其中：基本支出1171.65万元，占总支出的16.92%；项目支出5210.60万元，占总支出的75.27%。今年总支出较上年总支出1,049.58万元增加了5,872.67万元，增幅559.52%，主要原因是社区工作经费在街办开支，增加了老旧小区改造专项资金支出。年底决算支出较年初预算支出837.32万元多6084.93万元，主要原因是住房保证支出未纳入年初预算支出内，社区工作经费在街办开支，增加了办公成本。</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32"/>
          <w:szCs w:val="32"/>
          <w:lang w:eastAsia="zh-CN"/>
        </w:rPr>
      </w:pPr>
      <w:r>
        <w:rPr>
          <w:rFonts w:hint="eastAsia" w:ascii="宋体" w:hAnsi="宋体" w:eastAsia="宋体" w:cs="宋体"/>
          <w:i w:val="0"/>
          <w:iCs w:val="0"/>
          <w:caps w:val="0"/>
          <w:color w:val="222222"/>
          <w:spacing w:val="0"/>
          <w:sz w:val="32"/>
          <w:szCs w:val="32"/>
          <w:shd w:val="clear" w:fill="FFFFFF"/>
        </w:rPr>
        <w:t>三</w:t>
      </w:r>
      <w:r>
        <w:rPr>
          <w:rStyle w:val="4"/>
          <w:rFonts w:hint="eastAsia" w:ascii="宋体" w:hAnsi="宋体" w:eastAsia="宋体" w:cs="宋体"/>
          <w:i w:val="0"/>
          <w:iCs w:val="0"/>
          <w:caps w:val="0"/>
          <w:color w:val="222222"/>
          <w:spacing w:val="0"/>
          <w:sz w:val="32"/>
          <w:szCs w:val="32"/>
        </w:rPr>
        <w:t>、2021年财政拨款收入支出决算情况说明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财政拨款收入总计4,339.91万元，同比减幅2.82%，2021年财政拨款支出总计6,922.25万元，同比相比增幅559.52%。原因是社区工作经费在街办开支，增加了老旧小区改造专项资金支出。下陆区新下陆街道办事处2021年财政拨款收入总计4,339.91万元，财政拨款收入年初预算数为837.32万元，与2021年预算数相比增加3502.59万元,原因是住房保证支出未纳入年初预算支出内。</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32"/>
          <w:szCs w:val="32"/>
          <w:lang w:eastAsia="zh-CN"/>
        </w:rPr>
      </w:pPr>
      <w:r>
        <w:rPr>
          <w:rFonts w:hint="eastAsia" w:ascii="宋体" w:hAnsi="宋体" w:eastAsia="宋体" w:cs="宋体"/>
          <w:i w:val="0"/>
          <w:iCs w:val="0"/>
          <w:caps w:val="0"/>
          <w:color w:val="222222"/>
          <w:spacing w:val="0"/>
          <w:sz w:val="32"/>
          <w:szCs w:val="32"/>
          <w:shd w:val="clear" w:fill="FFFFFF"/>
        </w:rPr>
        <w:t>四</w:t>
      </w:r>
      <w:r>
        <w:rPr>
          <w:rStyle w:val="4"/>
          <w:rFonts w:hint="eastAsia" w:ascii="宋体" w:hAnsi="宋体" w:eastAsia="宋体" w:cs="宋体"/>
          <w:i w:val="0"/>
          <w:iCs w:val="0"/>
          <w:caps w:val="0"/>
          <w:color w:val="222222"/>
          <w:spacing w:val="0"/>
          <w:sz w:val="32"/>
          <w:szCs w:val="32"/>
        </w:rPr>
        <w:t>、2021年一般公共预算财政拨款支出决算情况说明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一般公共预算财政拨款支出年末支出决算数为6922.25万元，与2021年预算数837.32万元相比增加6084.93万元,主要原因是住房保证支出未纳入年初预算支出内，社区工作经费在街办开支，增加了办公成本；较2020年决算数1043.04万元增加668.61万元，上涨64.1%，原因是社区工作经费在街办开支，增加了办公成本。</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按支出功能分类，一般公共服务支出737.25万元；城乡社区支出1666.09万元；住房保障支出4476.84万元；灾害防治及应急管理支出42.07万元。</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五</w:t>
      </w:r>
      <w:r>
        <w:rPr>
          <w:rStyle w:val="4"/>
          <w:rFonts w:hint="eastAsia" w:ascii="宋体" w:hAnsi="宋体" w:eastAsia="宋体" w:cs="宋体"/>
          <w:i w:val="0"/>
          <w:iCs w:val="0"/>
          <w:caps w:val="0"/>
          <w:color w:val="222222"/>
          <w:spacing w:val="0"/>
          <w:sz w:val="28"/>
          <w:szCs w:val="28"/>
        </w:rPr>
        <w:t>、2021年一般公共预算财政拨款基本支出决算情况说明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一般公共预算财政拨款基本支出1711.65万元。其中：人员经费支出1396.23万元。人员经费主要包括：基本工资、津贴补贴、奖金、社会保险缴费、离退休费、医疗费、住房公积金、职业年金、机关事业单位养老保险等支出。日常公用经费支出315.42万元。日常公用经费主要包括：办公费、印刷费、水费、电费、邮电费、物业管理费、差旅费、维修（护）费、租赁费、会议费、培训费、公务接待费、劳务费、工会经费、福利费、公车运行维护费、其他交通费、其他商品和服务支出、办公设备购置等。主要原因是社区工作经费在街办开支，增加了老旧小区改造专项资金支出。</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基本支主要用于：</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（1）工资及福利支出1375.99万元，主要用于职工基本工资、津贴、补贴、奖金、社会保障缴费支出；</w:t>
      </w:r>
    </w:p>
    <w:p>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（2）商品及服务支出315.42万元，主要用于办公费用、印刷费、水电费、电话费、劳务费、工会福利费、燃油费、交通费、招待费、专项经费等支出；</w:t>
      </w:r>
    </w:p>
    <w:p>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（3）对个人和家庭的补助支出20.24万元；主要用于退休费等支出；</w:t>
      </w:r>
    </w:p>
    <w:p>
      <w:pPr>
        <w:numPr>
          <w:ilvl w:val="0"/>
          <w:numId w:val="0"/>
        </w:numPr>
        <w:rPr>
          <w:rFonts w:hint="eastAsia" w:ascii="宋体" w:hAnsi="宋体" w:eastAsia="宋体" w:cs="宋体"/>
          <w:i w:val="0"/>
          <w:iCs w:val="0"/>
          <w:caps w:val="0"/>
          <w:color w:val="222222"/>
          <w:spacing w:val="0"/>
          <w:sz w:val="28"/>
          <w:szCs w:val="28"/>
          <w:shd w:val="clear" w:fill="FFFFFF"/>
          <w:lang w:eastAsia="zh-CN"/>
        </w:rPr>
      </w:pPr>
    </w:p>
    <w:p>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六</w:t>
      </w:r>
      <w:r>
        <w:rPr>
          <w:rStyle w:val="4"/>
          <w:rFonts w:hint="eastAsia" w:ascii="宋体" w:hAnsi="宋体" w:eastAsia="宋体" w:cs="宋体"/>
          <w:i w:val="0"/>
          <w:iCs w:val="0"/>
          <w:caps w:val="0"/>
          <w:color w:val="222222"/>
          <w:spacing w:val="0"/>
          <w:sz w:val="28"/>
          <w:szCs w:val="28"/>
        </w:rPr>
        <w:t>、一般公共预算财政拨款“三公”经费支出决算情况说明</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三公”经费支出2.56万元，较年初预算1.36万元增加1.2万元，系车辆运行维护费增加2.56万元，公务接待费减少1.36万元，车辆运行维护费增加原因是未将公务用车购置及运行维护费纳入年初预算，公务接待费减少是疫情原因部分业务未开展。较上年决算数4.59减少了2.03万元，原因是本年度较上年度厉行节约，公务用车及运行维护费减少。其中：</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1.因公出国支出0万元，出国组数为0次，出国人数为0人，与年初预算数持平，原因是本年度无出国计划；与上年决算数持平，原因是上年度无出国计划。</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公务用车购置及运行维护费支出决算数为2.56万元，与2021年预算数0万元相比增加2.56万元，主要原因是未将公务用车购置及运行维护费纳入年初预算；与2020年支出决算数4.59万元，减少2.03万元，原因是本年度较上年度厉行节约，公务用车及运行维护费减少。其中：</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1）公车购置费0万元，购买0辆，较年初预算持平，原因是本单位无公车购置计划；与上年决算数持平，原因是上年度也未购置车辆。截止2021年12月31日，本单位车辆保有量4辆，与年初预算数持平，与上年决算数持平，原因是21年未购置公车。</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公务用车运行维护费2.56万元，与2021年预算0万元相比增加2.56万元，系车辆运行维护费增加2.56万元，原因是未将公务用车购置及运行维护费纳入年初预算；与2020年支出决算数4.59万元，减少2.03万元，原因是本年度较上年度厉行节约，公务用车及运行维护费减少。</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3.公务接待费0万元，较年初预算1.36万元减少1.36万元，原因是本年度因疫情原因未开展公务接待活动；较上年决算数减少1.36万元，原因是本年度因疫情原因未开展公务接待活动，导致未产生接待费用。</w:t>
      </w:r>
    </w:p>
    <w:p>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七</w:t>
      </w:r>
      <w:r>
        <w:rPr>
          <w:rStyle w:val="4"/>
          <w:rFonts w:hint="eastAsia" w:ascii="宋体" w:hAnsi="宋体" w:eastAsia="宋体" w:cs="宋体"/>
          <w:i w:val="0"/>
          <w:iCs w:val="0"/>
          <w:caps w:val="0"/>
          <w:color w:val="222222"/>
          <w:spacing w:val="0"/>
          <w:sz w:val="28"/>
          <w:szCs w:val="28"/>
        </w:rPr>
        <w:t>、机关运行经费执行情况说明</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机关运行经费315.42万元，与2021年预算60.49万元相比增加254.93万元，主要原因是社区工作经费在街办开支。与2020年决算数37.19万元相比增加了278.23万元，主要原因是社区工作经费在街办开支，而20年社区工作经费不在在街办开支。</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主要用于办公费314.22万元、电费0.89万、公车运行维护费0.32万元。</w:t>
      </w:r>
    </w:p>
    <w:p>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八</w:t>
      </w:r>
      <w:r>
        <w:rPr>
          <w:rStyle w:val="4"/>
          <w:rFonts w:hint="eastAsia" w:ascii="宋体" w:hAnsi="宋体" w:eastAsia="宋体" w:cs="宋体"/>
          <w:i w:val="0"/>
          <w:iCs w:val="0"/>
          <w:caps w:val="0"/>
          <w:color w:val="222222"/>
          <w:spacing w:val="0"/>
          <w:sz w:val="28"/>
          <w:szCs w:val="28"/>
        </w:rPr>
        <w:t>、政府采购执行情况说明</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我单位政府采购预算计划金额13,305.20万元，其中一般公共预算13,305.20万元，其他资金0万元；主要用于购买货物类28.2万元、工程类13241万元、服务类36万元。政府采购授予中小企业合同总额13,305.20万元，占政府采购合同总额的100%；其中：授予小微企业合同金额13,305.20万元，占政府采购支出总额的100%。</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我单位政府实际采购金额2,854.89万元，其中一般公共预算2,854.89万元，其他资金0万元；主要用于购买货物类29.12万元、工程类2,814.98万元、服务类10.80万元。2021年政府采购授予中小企业合同总额2,854.89万元，占政府采购合同总额的100%；其中：授予小微企业合同金额2,854.89万元，占政府采购支出总额的100%。</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政府采购支出总额比2020年度16.81万元增加2838.08万元，增幅16883.28%，主要原因去年老旧小区改造工程实施。</w:t>
      </w:r>
    </w:p>
    <w:p>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九</w:t>
      </w:r>
      <w:r>
        <w:rPr>
          <w:rStyle w:val="4"/>
          <w:rFonts w:hint="eastAsia" w:ascii="宋体" w:hAnsi="宋体" w:eastAsia="宋体" w:cs="宋体"/>
          <w:i w:val="0"/>
          <w:iCs w:val="0"/>
          <w:caps w:val="0"/>
          <w:color w:val="222222"/>
          <w:spacing w:val="0"/>
          <w:sz w:val="28"/>
          <w:szCs w:val="28"/>
        </w:rPr>
        <w:t>、国有资产占用情况说明</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2021年度我单位共占有车辆数4台，其中：机要通信用车1台，应急保障用车0台，执法执勤用车3台，特种专用技术用车0台，其他用车2台；单价50万元以上通用设备0台；单价100万元以上专用设备0台。</w:t>
      </w:r>
    </w:p>
    <w:p>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十、</w:t>
      </w:r>
      <w:r>
        <w:rPr>
          <w:rStyle w:val="4"/>
          <w:rFonts w:hint="eastAsia" w:ascii="宋体" w:hAnsi="宋体" w:eastAsia="宋体" w:cs="宋体"/>
          <w:i w:val="0"/>
          <w:iCs w:val="0"/>
          <w:caps w:val="0"/>
          <w:color w:val="222222"/>
          <w:spacing w:val="0"/>
          <w:sz w:val="28"/>
          <w:szCs w:val="28"/>
        </w:rPr>
        <w:t>其他情况</w:t>
      </w:r>
    </w:p>
    <w:p>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我单位无举借政府债务情况、无扶贫专项资金情况、无政府性基金预算收支情况、无财政专项支出情况、无专项转移支付情况。</w:t>
      </w:r>
    </w:p>
    <w:p>
      <w:pPr>
        <w:numPr>
          <w:ilvl w:val="0"/>
          <w:numId w:val="0"/>
        </w:numPr>
        <w:rPr>
          <w:rStyle w:val="4"/>
          <w:rFonts w:hint="default" w:ascii="Arial" w:hAnsi="Arial" w:eastAsia="宋体" w:cs="Arial"/>
          <w:i w:val="0"/>
          <w:iCs w:val="0"/>
          <w:caps w:val="0"/>
          <w:color w:val="222222"/>
          <w:spacing w:val="0"/>
          <w:sz w:val="28"/>
          <w:szCs w:val="28"/>
        </w:rPr>
      </w:pPr>
      <w:r>
        <w:rPr>
          <w:rFonts w:hint="default" w:ascii="Arial" w:hAnsi="Arial" w:eastAsia="宋体" w:cs="Arial"/>
          <w:i w:val="0"/>
          <w:iCs w:val="0"/>
          <w:caps w:val="0"/>
          <w:color w:val="222222"/>
          <w:spacing w:val="0"/>
          <w:sz w:val="28"/>
          <w:szCs w:val="28"/>
          <w:shd w:val="clear" w:fill="FFFFFF"/>
        </w:rPr>
        <w:t>十一、</w:t>
      </w:r>
      <w:r>
        <w:rPr>
          <w:rStyle w:val="4"/>
          <w:rFonts w:hint="default" w:ascii="Arial" w:hAnsi="Arial" w:eastAsia="宋体" w:cs="Arial"/>
          <w:i w:val="0"/>
          <w:iCs w:val="0"/>
          <w:caps w:val="0"/>
          <w:color w:val="222222"/>
          <w:spacing w:val="0"/>
          <w:sz w:val="28"/>
          <w:szCs w:val="28"/>
        </w:rPr>
        <w:t>预算绩效工作开展情况</w:t>
      </w:r>
    </w:p>
    <w:p>
      <w:pPr>
        <w:widowControl/>
        <w:shd w:val="clear" w:color="auto" w:fill="FFFFFF"/>
        <w:spacing w:line="453" w:lineRule="atLeast"/>
        <w:ind w:firstLine="580" w:firstLineChars="200"/>
        <w:jc w:val="both"/>
        <w:rPr>
          <w:rFonts w:hint="eastAsia" w:ascii="Arial" w:hAnsi="Arial" w:eastAsia="宋体" w:cs="Arial"/>
          <w:b/>
          <w:bCs/>
          <w:color w:val="000000"/>
          <w:kern w:val="0"/>
          <w:sz w:val="28"/>
          <w:szCs w:val="28"/>
          <w:lang w:eastAsia="zh-CN"/>
        </w:rPr>
      </w:pPr>
      <w:r>
        <w:rPr>
          <w:rFonts w:hint="eastAsia" w:ascii="Arial" w:hAnsi="Arial" w:eastAsia="宋体" w:cs="Arial"/>
          <w:color w:val="000000"/>
          <w:kern w:val="0"/>
          <w:sz w:val="29"/>
          <w:szCs w:val="29"/>
          <w:lang w:val="en-US" w:eastAsia="zh-CN"/>
        </w:rPr>
        <w:t xml:space="preserve"> </w:t>
      </w:r>
      <w:r>
        <w:rPr>
          <w:rFonts w:ascii="Arial" w:hAnsi="Arial" w:eastAsia="宋体" w:cs="Arial"/>
          <w:b/>
          <w:bCs/>
          <w:color w:val="000000"/>
          <w:kern w:val="0"/>
          <w:sz w:val="28"/>
          <w:szCs w:val="28"/>
        </w:rPr>
        <w:t>（一）预算绩效管理工作开展情况</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i w:val="0"/>
          <w:iCs w:val="0"/>
          <w:caps w:val="0"/>
          <w:color w:val="222222"/>
          <w:spacing w:val="0"/>
          <w:sz w:val="24"/>
          <w:szCs w:val="24"/>
          <w:shd w:val="clear" w:fill="FFFFFF"/>
        </w:rPr>
        <w:t>根据预算绩效管理要求，我单位组织对2021年度一般公共预算项目支出全面开展绩效自评，共涉及项目1个，资金</w:t>
      </w:r>
      <w:r>
        <w:rPr>
          <w:rFonts w:hint="eastAsia" w:ascii="宋体" w:hAnsi="宋体" w:eastAsia="宋体" w:cs="宋体"/>
          <w:i w:val="0"/>
          <w:iCs w:val="0"/>
          <w:caps w:val="0"/>
          <w:color w:val="222222"/>
          <w:spacing w:val="0"/>
          <w:sz w:val="24"/>
          <w:szCs w:val="24"/>
          <w:shd w:val="clear" w:fill="FFFFFF"/>
          <w:lang w:val="en-US" w:eastAsia="zh-CN"/>
        </w:rPr>
        <w:t>200</w:t>
      </w:r>
      <w:r>
        <w:rPr>
          <w:rFonts w:hint="eastAsia" w:ascii="宋体" w:hAnsi="宋体" w:eastAsia="宋体" w:cs="宋体"/>
          <w:i w:val="0"/>
          <w:iCs w:val="0"/>
          <w:caps w:val="0"/>
          <w:color w:val="222222"/>
          <w:spacing w:val="0"/>
          <w:sz w:val="24"/>
          <w:szCs w:val="24"/>
          <w:shd w:val="clear" w:fill="FFFFFF"/>
        </w:rPr>
        <w:t>万元（其中：一般公共预算拨款</w:t>
      </w:r>
      <w:r>
        <w:rPr>
          <w:rFonts w:hint="eastAsia" w:ascii="宋体" w:hAnsi="宋体" w:eastAsia="宋体" w:cs="宋体"/>
          <w:i w:val="0"/>
          <w:iCs w:val="0"/>
          <w:caps w:val="0"/>
          <w:color w:val="222222"/>
          <w:spacing w:val="0"/>
          <w:sz w:val="24"/>
          <w:szCs w:val="24"/>
          <w:shd w:val="clear" w:fill="FFFFFF"/>
          <w:lang w:val="en-US" w:eastAsia="zh-CN"/>
        </w:rPr>
        <w:t>200</w:t>
      </w:r>
      <w:r>
        <w:rPr>
          <w:rFonts w:hint="eastAsia" w:ascii="宋体" w:hAnsi="宋体" w:eastAsia="宋体" w:cs="宋体"/>
          <w:i w:val="0"/>
          <w:iCs w:val="0"/>
          <w:caps w:val="0"/>
          <w:color w:val="222222"/>
          <w:spacing w:val="0"/>
          <w:sz w:val="24"/>
          <w:szCs w:val="24"/>
          <w:shd w:val="clear" w:fill="FFFFFF"/>
        </w:rPr>
        <w:t>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i w:val="0"/>
          <w:iCs w:val="0"/>
          <w:caps w:val="0"/>
          <w:color w:val="222222"/>
          <w:spacing w:val="0"/>
          <w:sz w:val="24"/>
          <w:szCs w:val="24"/>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了一次绩效监控，确保预算绩效目标的实现。三是在预</w:t>
      </w:r>
      <w:r>
        <w:rPr>
          <w:rFonts w:hint="eastAsia" w:ascii="宋体" w:hAnsi="宋体" w:eastAsia="宋体" w:cs="宋体"/>
          <w:i w:val="0"/>
          <w:iCs w:val="0"/>
          <w:caps w:val="0"/>
          <w:color w:val="222222"/>
          <w:spacing w:val="0"/>
          <w:sz w:val="24"/>
          <w:szCs w:val="24"/>
          <w:shd w:val="clear" w:fill="FFFFFF"/>
          <w:lang w:val="en-US" w:eastAsia="zh-CN"/>
        </w:rPr>
        <w:t>算编制中，认真梳理项目活动，依据项目活动明确项目绩效目标、量化关键绩效指标，将预算绩效评价结果作为预算安排的依据，提高预算绩效目标申报的及时性与规范性。四是完善绩效报告与公开制度，推动绩效信</w:t>
      </w:r>
      <w:r>
        <w:rPr>
          <w:rFonts w:hint="eastAsia" w:ascii="宋体" w:hAnsi="宋体" w:eastAsia="宋体" w:cs="宋体"/>
          <w:i w:val="0"/>
          <w:iCs w:val="0"/>
          <w:caps w:val="0"/>
          <w:color w:val="222222"/>
          <w:spacing w:val="0"/>
          <w:sz w:val="24"/>
          <w:szCs w:val="24"/>
          <w:shd w:val="clear" w:fill="FFFFFF"/>
        </w:rPr>
        <w:t>息公开，自觉接受社会监督。</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我单位整体支出预算执行率为100%，执行情况良好，2021年部门整体支出绩效目标基本完成：</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664"/>
        <w:gridCol w:w="662"/>
        <w:gridCol w:w="492"/>
        <w:gridCol w:w="1996"/>
        <w:gridCol w:w="2270"/>
        <w:gridCol w:w="933"/>
        <w:gridCol w:w="791"/>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2021年下陆区部门整体支出绩效自评表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填报单位（盖章）：</w:t>
            </w:r>
          </w:p>
        </w:tc>
        <w:tc>
          <w:tcPr>
            <w:tcW w:w="1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填报日期：2022.3.31</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单位名称</w:t>
            </w:r>
          </w:p>
        </w:tc>
        <w:tc>
          <w:tcPr>
            <w:tcW w:w="29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新下陆街道办事处</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评价年度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3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基本支出决算数总额</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项目支出决算数总额</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0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执行数（A）</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预算数（B）</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0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837.32</w:t>
            </w:r>
            <w:r>
              <w:rPr>
                <w:rStyle w:val="5"/>
                <w:lang w:val="en-US" w:eastAsia="zh-CN" w:bidi="ar"/>
              </w:rPr>
              <w:t>万元</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二级</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指标说明</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年初目标值</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预算执行（35分）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预算完成率=（预算完成数/预算数）×100%，用以反映和考核部门（单位）预算完成程度。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预算完成数：部门（单位）本年度实际完成的预算数。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预算数：财政部门批复的本年度部门（单位）预算数。</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预算完成率＝100%的，得10分。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预算完成率≥95%的，得9分。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预算完成率在90%（含）和95%之间，得8分。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预算完成率在85%（含）和90%之间，得7分。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预算完成率在80%（含）和85%之间，得6分。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预算完成率在70%（含）和80%之间，得4分。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预算完成率＜70%的，得0分。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837.32万元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预算调整率=（预算调整数/预算数）×100%，用以反映和考核部门（单位）预算的调整程度。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预算包括一般公共预算与政府性基金预算。</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预算调整率绝对值≤5%，得10分。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预算调整率绝对值＞5%的，每增加0.1个百分点扣0.1分，扣完为止。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837.32万元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支出进度率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支出进度率=（实际支出/支出预算）×100%，用以反映和考核部门（单位）预算执行的及时性和均衡性程度。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半年支出进度＝部门上半年实际支出/（上年结余结转+本年部门预算安排+上半年执行中追加追减）*100%。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前三季度支出进度＝部门前三季度实际支出/（上年结余结转+本年部门预算安排+前三季度执行中追加追减）*100%。</w:t>
            </w:r>
          </w:p>
        </w:tc>
        <w:tc>
          <w:tcPr>
            <w:tcW w:w="12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半年进度：进度率≥45%，得4分；进度率在40%（含）和45%之间，得2分；进度率＜40%，得0分。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前三季度进度：进度率≥75%，得6分；进度率在60%（含）和75%之间，得4分；进度率＜60%，得0分。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837.32万元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预算执行（35分）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预算编制准确率（5分）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部门预算中除财政拨款外的其他收入预算与决算差异率。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预算编制准确率＝其他收入决算数/其他收入预算数×100%-100%。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预算编制准确率≤20%，得5分。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预算编制准确率在20%和40%（含）之间，得3分。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预算编制准确率＞40%，得0分。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预算管理（20分）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“三公经费”控制率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 ≤100%，得5分，每增加0.1个百分点扣0.5分，扣完为止。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资产管理规范性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部门（单位）资产管理是否规范，用以反映和考核部门（单位）资产管理情况。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1.新增资产配置按预算执行。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2.资产有偿使用、处置按规定程序审批。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3.资产收益及时、足额上缴财政。</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全部符合5分，有1项不符扣2分,扣完为止。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资金使用合规性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1.符合国家财经法规和财务管理制度规定以及有关专项资金管理办法的规定；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2.资金的拨付有完整的审批程序和手续；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3.重大项目开支经过评估论证；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4.符合部门预算批复的用途；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5.不存在截留、挤占、挪用、虚列支出等情况。</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全部符合10分,有1项不符扣2分，扣完为止。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运行效益（45分）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行政运行经济性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现行行政运行经费支出预算编制方法的行政运行成本。</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可使行政运行成本最经济为5分，可使行政运行成本较合理为3分，一般为2分，不合理为0分。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行政运行有效性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行政运行经费支出能否保障部门正常运行。</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正常运行的得5分，基本正常得3分，不能正常运行的不得分。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专项运行经济效益</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项目资金运行产生的经济效益</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经济效益显著得10分；一般得5分，下降不得分。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专项运行社会效益</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项目资金运行产生的社会效益</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社会效益显著得10分；一般得5分；否则不得分。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运行效益（45分）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专项运行可持续影响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1.项目完成后有经费安排能满足项目持续运行需要；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2.项目完成后有制度保障项目持续运行需要；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3.项目完成后有明确的项目管理机构、负责人对项目后继管理负责，满足持续运行需要。</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全部符合15分,有1项不符扣5分，扣完为止。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评价结论（优、良、中、差）：优</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r>
    </w:tbl>
    <w:p>
      <w:pPr>
        <w:widowControl/>
        <w:numPr>
          <w:ilvl w:val="0"/>
          <w:numId w:val="1"/>
        </w:numPr>
        <w:shd w:val="clear" w:color="auto" w:fill="FFFFFF"/>
        <w:spacing w:line="453" w:lineRule="atLeast"/>
        <w:ind w:firstLine="582" w:firstLineChars="200"/>
        <w:jc w:val="both"/>
        <w:rPr>
          <w:rFonts w:ascii="Arial" w:hAnsi="Arial" w:eastAsia="宋体" w:cs="Arial"/>
          <w:color w:val="000000"/>
          <w:kern w:val="0"/>
          <w:sz w:val="29"/>
          <w:szCs w:val="29"/>
        </w:rPr>
      </w:pPr>
      <w:r>
        <w:rPr>
          <w:rFonts w:ascii="Arial" w:hAnsi="Arial" w:eastAsia="宋体" w:cs="Arial"/>
          <w:b/>
          <w:bCs/>
          <w:color w:val="000000"/>
          <w:kern w:val="0"/>
          <w:sz w:val="29"/>
        </w:rPr>
        <w:t>部门决算中项目绩效自评结果</w:t>
      </w:r>
    </w:p>
    <w:p>
      <w:pPr>
        <w:widowControl/>
        <w:shd w:val="clear" w:color="auto" w:fill="FFFFFF"/>
        <w:spacing w:line="453" w:lineRule="atLeast"/>
        <w:ind w:firstLine="5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Arial" w:hAnsi="Arial" w:eastAsia="宋体" w:cs="Arial"/>
          <w:b w:val="0"/>
          <w:bCs w:val="0"/>
          <w:color w:val="000000"/>
          <w:kern w:val="0"/>
          <w:sz w:val="29"/>
          <w:szCs w:val="29"/>
          <w:lang w:val="en-US" w:eastAsia="zh-CN"/>
        </w:rPr>
        <w:t xml:space="preserve">  </w:t>
      </w:r>
      <w:r>
        <w:rPr>
          <w:rFonts w:hint="eastAsia" w:ascii="宋体" w:hAnsi="宋体" w:eastAsia="宋体" w:cs="宋体"/>
          <w:i w:val="0"/>
          <w:iCs w:val="0"/>
          <w:caps w:val="0"/>
          <w:color w:val="222222"/>
          <w:spacing w:val="0"/>
          <w:sz w:val="24"/>
          <w:szCs w:val="24"/>
          <w:shd w:val="clear" w:fill="FFFFFF"/>
          <w:lang w:val="en-US" w:eastAsia="zh-CN"/>
        </w:rPr>
        <w:t>1.社会事务专项经费经费绩效自评：</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项目全年预算数为200万元，其中：一般公共预算财政拨款200万元。执行数为200万元，完成预算100%。</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主要产出和效益：1.促进辖区经济增长和基础建设；2.维护辖区信访工作稳定率；3.保证辖区内环境环境卫生；4.优化辖区营商环境。</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产出指标：群众满意度90%。</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下一步改进措施：结合以往年度实际情况，科学测算相关工作经费预算，进一步提高预算编制的准确性。</w:t>
      </w:r>
    </w:p>
    <w:tbl>
      <w:tblPr>
        <w:tblStyle w:val="6"/>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pPr>
              <w:jc w:val="left"/>
              <w:rPr>
                <w:rFonts w:ascii="Arial"/>
                <w:sz w:val="21"/>
              </w:rPr>
            </w:pPr>
            <w:r>
              <w:rPr>
                <w:rFonts w:hint="eastAsia" w:ascii="Arial"/>
                <w:sz w:val="21"/>
                <w:lang w:val="en-US" w:eastAsia="zh-CN"/>
              </w:rPr>
              <w:t>新街办社会事务专项经费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pPr>
              <w:jc w:val="left"/>
              <w:rPr>
                <w:rFonts w:ascii="Arial"/>
                <w:sz w:val="21"/>
              </w:rPr>
            </w:pPr>
            <w:r>
              <w:rPr>
                <w:rFonts w:hint="eastAsia" w:ascii="Arial"/>
                <w:sz w:val="21"/>
                <w:lang w:val="en-US" w:eastAsia="zh-CN"/>
              </w:rPr>
              <w:t>党政综合办</w:t>
            </w:r>
          </w:p>
        </w:tc>
        <w:tc>
          <w:tcPr>
            <w:tcW w:w="2516" w:type="dxa"/>
            <w:gridSpan w:val="3"/>
            <w:noWrap w:val="0"/>
            <w:vAlign w:val="top"/>
          </w:tcPr>
          <w:p>
            <w:pPr>
              <w:spacing w:before="150" w:line="220" w:lineRule="auto"/>
              <w:ind w:left="595"/>
              <w:jc w:val="left"/>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jc w:val="left"/>
              <w:rPr>
                <w:rFonts w:ascii="Arial"/>
                <w:sz w:val="21"/>
              </w:rPr>
            </w:pPr>
            <w:r>
              <w:rPr>
                <w:rFonts w:hint="eastAsia" w:ascii="Arial"/>
                <w:sz w:val="21"/>
                <w:lang w:val="en-US" w:eastAsia="zh-CN"/>
              </w:rPr>
              <w:t>新下陆街道办事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jc w:val="center"/>
              <w:rPr>
                <w:rFonts w:hint="default" w:ascii="Arial" w:eastAsia="宋体"/>
                <w:sz w:val="21"/>
                <w:lang w:val="en-US" w:eastAsia="zh-CN"/>
              </w:rPr>
            </w:pPr>
            <w:r>
              <w:rPr>
                <w:rFonts w:hint="eastAsia" w:ascii="Arial"/>
                <w:sz w:val="21"/>
                <w:lang w:val="en-US" w:eastAsia="zh-CN"/>
              </w:rPr>
              <w:t>200</w:t>
            </w:r>
          </w:p>
        </w:tc>
        <w:tc>
          <w:tcPr>
            <w:tcW w:w="1318" w:type="dxa"/>
            <w:gridSpan w:val="2"/>
            <w:noWrap w:val="0"/>
            <w:vAlign w:val="top"/>
          </w:tcPr>
          <w:p>
            <w:pPr>
              <w:jc w:val="center"/>
              <w:rPr>
                <w:rFonts w:hint="default" w:ascii="Arial" w:eastAsia="宋体"/>
                <w:sz w:val="21"/>
                <w:lang w:val="en-US" w:eastAsia="zh-CN"/>
              </w:rPr>
            </w:pPr>
            <w:r>
              <w:rPr>
                <w:rFonts w:hint="eastAsia" w:ascii="Arial"/>
                <w:sz w:val="21"/>
                <w:lang w:val="en-US" w:eastAsia="zh-CN"/>
              </w:rPr>
              <w:t>200</w:t>
            </w:r>
          </w:p>
        </w:tc>
        <w:tc>
          <w:tcPr>
            <w:tcW w:w="1458" w:type="dxa"/>
            <w:noWrap w:val="0"/>
            <w:vAlign w:val="top"/>
          </w:tcPr>
          <w:p>
            <w:pPr>
              <w:jc w:val="center"/>
              <w:rPr>
                <w:rFonts w:hint="default" w:ascii="Arial" w:eastAsia="宋体"/>
                <w:kern w:val="2"/>
                <w:sz w:val="21"/>
                <w:lang w:val="en-US" w:eastAsia="zh-CN" w:bidi="ar-SA"/>
              </w:rPr>
            </w:pPr>
            <w:r>
              <w:rPr>
                <w:rFonts w:hint="eastAsia" w:ascii="Arial"/>
                <w:sz w:val="21"/>
                <w:lang w:val="en-US" w:eastAsia="zh-CN"/>
              </w:rPr>
              <w:t>100</w:t>
            </w:r>
          </w:p>
        </w:tc>
        <w:tc>
          <w:tcPr>
            <w:tcW w:w="2202" w:type="dxa"/>
            <w:gridSpan w:val="3"/>
            <w:noWrap w:val="0"/>
            <w:vAlign w:val="top"/>
          </w:tcPr>
          <w:p>
            <w:pPr>
              <w:jc w:val="center"/>
              <w:rPr>
                <w:rFonts w:hint="default" w:ascii="Arial" w:eastAsia="宋体"/>
                <w:kern w:val="2"/>
                <w:sz w:val="21"/>
                <w:lang w:val="en-US" w:eastAsia="zh-CN" w:bidi="ar-SA"/>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数量指标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森林防火、信访维稳</w:t>
            </w:r>
          </w:p>
        </w:tc>
        <w:tc>
          <w:tcPr>
            <w:tcW w:w="1458"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100%</w:t>
            </w:r>
          </w:p>
        </w:tc>
        <w:tc>
          <w:tcPr>
            <w:tcW w:w="1318" w:type="dxa"/>
            <w:gridSpan w:val="2"/>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100%</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质量指标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坚持依法依规管理</w:t>
            </w:r>
          </w:p>
        </w:tc>
        <w:tc>
          <w:tcPr>
            <w:tcW w:w="1458"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lang w:val="en-US" w:eastAsia="zh-CN"/>
              </w:rPr>
              <w:t>长期</w:t>
            </w:r>
          </w:p>
        </w:tc>
        <w:tc>
          <w:tcPr>
            <w:tcW w:w="1318" w:type="dxa"/>
            <w:gridSpan w:val="2"/>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长期</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时效指标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重大信访事件办结率90%</w:t>
            </w:r>
          </w:p>
        </w:tc>
        <w:tc>
          <w:tcPr>
            <w:tcW w:w="1458"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90%</w:t>
            </w:r>
          </w:p>
        </w:tc>
        <w:tc>
          <w:tcPr>
            <w:tcW w:w="1318" w:type="dxa"/>
            <w:gridSpan w:val="2"/>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90%</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成本指标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完成任务的同时，控制成本</w:t>
            </w:r>
          </w:p>
        </w:tc>
        <w:tc>
          <w:tcPr>
            <w:tcW w:w="1458"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经济效益指标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促进辖区经济增长和基础建设</w:t>
            </w:r>
          </w:p>
        </w:tc>
        <w:tc>
          <w:tcPr>
            <w:tcW w:w="1458"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社会效益指标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维护辖区信访工作稳定率</w:t>
            </w:r>
          </w:p>
        </w:tc>
        <w:tc>
          <w:tcPr>
            <w:tcW w:w="1458"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生态效益指标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保证辖区内环境环境卫生</w:t>
            </w:r>
          </w:p>
        </w:tc>
        <w:tc>
          <w:tcPr>
            <w:tcW w:w="1458"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kern w:val="2"/>
                <w:sz w:val="21"/>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可持续影响指标</w:t>
            </w: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优化辖区营商环境</w:t>
            </w:r>
          </w:p>
        </w:tc>
        <w:tc>
          <w:tcPr>
            <w:tcW w:w="1458" w:type="dxa"/>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pPr>
              <w:jc w:val="center"/>
              <w:rPr>
                <w:rFonts w:hint="eastAsia" w:ascii="Arial" w:hAnsi="Calibri" w:eastAsia="宋体" w:cs="Times New Roman"/>
                <w:kern w:val="2"/>
                <w:sz w:val="21"/>
                <w:lang w:val="en-US" w:eastAsia="zh-CN" w:bidi="ar-SA"/>
              </w:rPr>
            </w:pPr>
          </w:p>
        </w:tc>
        <w:tc>
          <w:tcPr>
            <w:tcW w:w="2647" w:type="dxa"/>
            <w:gridSpan w:val="3"/>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群众满意度</w:t>
            </w:r>
          </w:p>
        </w:tc>
        <w:tc>
          <w:tcPr>
            <w:tcW w:w="1458" w:type="dxa"/>
            <w:noWrap w:val="0"/>
            <w:vAlign w:val="top"/>
          </w:tcPr>
          <w:p>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全年无进京赴省事件。</w:t>
            </w:r>
          </w:p>
        </w:tc>
        <w:tc>
          <w:tcPr>
            <w:tcW w:w="1318" w:type="dxa"/>
            <w:gridSpan w:val="2"/>
            <w:noWrap w:val="0"/>
            <w:vAlign w:val="top"/>
          </w:tcPr>
          <w:p>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lang w:val="en-US" w:eastAsia="zh-CN"/>
              </w:rPr>
              <w:t>全年无进京赴省事件。</w:t>
            </w:r>
          </w:p>
        </w:tc>
        <w:tc>
          <w:tcPr>
            <w:tcW w:w="884" w:type="dxa"/>
            <w:noWrap w:val="0"/>
            <w:vAlign w:val="top"/>
          </w:tcPr>
          <w:p>
            <w:pPr>
              <w:jc w:val="center"/>
              <w:rPr>
                <w:rFonts w:hint="default" w:ascii="Arial" w:hAnsi="Calibri" w:eastAsia="宋体" w:cs="Times New Roman"/>
                <w:kern w:val="2"/>
                <w:sz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jc w:val="center"/>
              <w:rPr>
                <w:rFonts w:ascii="Arial"/>
                <w:sz w:val="21"/>
              </w:rPr>
            </w:pPr>
          </w:p>
        </w:tc>
        <w:tc>
          <w:tcPr>
            <w:tcW w:w="1119" w:type="dxa"/>
            <w:noWrap w:val="0"/>
            <w:vAlign w:val="top"/>
          </w:tcPr>
          <w:p>
            <w:pPr>
              <w:jc w:val="center"/>
              <w:rPr>
                <w:rFonts w:ascii="Arial"/>
                <w:sz w:val="21"/>
              </w:rPr>
            </w:pPr>
          </w:p>
        </w:tc>
        <w:tc>
          <w:tcPr>
            <w:tcW w:w="2647" w:type="dxa"/>
            <w:gridSpan w:val="3"/>
            <w:noWrap w:val="0"/>
            <w:vAlign w:val="top"/>
          </w:tcPr>
          <w:p>
            <w:pPr>
              <w:jc w:val="center"/>
              <w:rPr>
                <w:rFonts w:ascii="Arial"/>
                <w:sz w:val="21"/>
              </w:rPr>
            </w:pPr>
          </w:p>
        </w:tc>
        <w:tc>
          <w:tcPr>
            <w:tcW w:w="1458" w:type="dxa"/>
            <w:noWrap w:val="0"/>
            <w:vAlign w:val="top"/>
          </w:tcPr>
          <w:p>
            <w:pPr>
              <w:jc w:val="center"/>
              <w:rPr>
                <w:rFonts w:ascii="Arial"/>
                <w:sz w:val="21"/>
              </w:rPr>
            </w:pPr>
          </w:p>
        </w:tc>
        <w:tc>
          <w:tcPr>
            <w:tcW w:w="1318" w:type="dxa"/>
            <w:gridSpan w:val="2"/>
            <w:noWrap w:val="0"/>
            <w:vAlign w:val="top"/>
          </w:tcPr>
          <w:p>
            <w:pPr>
              <w:jc w:val="center"/>
              <w:rPr>
                <w:rFonts w:ascii="Arial"/>
                <w:sz w:val="21"/>
              </w:rPr>
            </w:pPr>
          </w:p>
        </w:tc>
        <w:tc>
          <w:tcPr>
            <w:tcW w:w="884" w:type="dxa"/>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pPr>
              <w:jc w:val="center"/>
              <w:rPr>
                <w:rFonts w:hint="default" w:ascii="Arial" w:eastAsiaTheme="minorEastAsia"/>
                <w:sz w:val="21"/>
                <w:lang w:val="en-US" w:eastAsia="zh-CN"/>
              </w:rPr>
            </w:pPr>
            <w:r>
              <w:rPr>
                <w:rFonts w:hint="eastAsia" w:ascii="Arial"/>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jc w:val="center"/>
              <w:rPr>
                <w:rFonts w:ascii="宋体" w:hAnsi="宋体" w:eastAsia="宋体" w:cs="宋体"/>
                <w:b/>
                <w:bCs/>
                <w:spacing w:val="4"/>
                <w:sz w:val="22"/>
                <w:szCs w:val="22"/>
              </w:rPr>
            </w:pPr>
            <w:r>
              <w:rPr>
                <w:b/>
                <w:bCs/>
              </w:rPr>
              <w:t>偏差大或目标未完成原因分析</w:t>
            </w:r>
          </w:p>
        </w:tc>
        <w:tc>
          <w:tcPr>
            <w:tcW w:w="8115" w:type="dxa"/>
            <w:gridSpan w:val="9"/>
            <w:noWrap w:val="0"/>
            <w:vAlign w:val="top"/>
          </w:tcPr>
          <w:p>
            <w:pPr>
              <w:jc w:val="center"/>
              <w:rPr>
                <w:rFonts w:hint="default" w:ascii="Arial"/>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jc w:val="center"/>
              <w:rPr>
                <w:rFonts w:ascii="宋体" w:hAnsi="宋体" w:eastAsia="宋体" w:cs="宋体"/>
                <w:b/>
                <w:bCs/>
                <w:spacing w:val="4"/>
                <w:sz w:val="22"/>
                <w:szCs w:val="22"/>
              </w:rPr>
            </w:pPr>
            <w:r>
              <w:rPr>
                <w:b/>
                <w:bCs/>
              </w:rPr>
              <w:t>改进措施及  结果应用方案</w:t>
            </w:r>
          </w:p>
        </w:tc>
        <w:tc>
          <w:tcPr>
            <w:tcW w:w="8115" w:type="dxa"/>
            <w:gridSpan w:val="9"/>
            <w:noWrap w:val="0"/>
            <w:vAlign w:val="top"/>
          </w:tcPr>
          <w:p>
            <w:pPr>
              <w:jc w:val="center"/>
              <w:rPr>
                <w:rFonts w:hint="default" w:ascii="Arial"/>
                <w:sz w:val="21"/>
                <w:lang w:val="en-US" w:eastAsia="zh-CN"/>
              </w:rPr>
            </w:pPr>
            <w:r>
              <w:rPr>
                <w:rFonts w:hint="eastAsia" w:ascii="Arial"/>
                <w:sz w:val="21"/>
                <w:lang w:val="en-US" w:eastAsia="zh-CN"/>
              </w:rPr>
              <w:t>无</w:t>
            </w:r>
          </w:p>
        </w:tc>
      </w:tr>
    </w:tbl>
    <w:p>
      <w:pPr>
        <w:widowControl/>
        <w:numPr>
          <w:ilvl w:val="0"/>
          <w:numId w:val="0"/>
        </w:numPr>
        <w:shd w:val="clear" w:color="auto" w:fill="FFFFFF"/>
        <w:spacing w:line="453" w:lineRule="atLeast"/>
        <w:jc w:val="both"/>
        <w:rPr>
          <w:rFonts w:hint="eastAsia" w:ascii="Arial" w:hAnsi="Arial" w:eastAsia="宋体" w:cs="Arial"/>
          <w:b/>
          <w:bCs/>
          <w:color w:val="000000"/>
          <w:kern w:val="0"/>
          <w:sz w:val="29"/>
          <w:lang w:eastAsia="zh-CN"/>
        </w:rPr>
      </w:pPr>
      <w:r>
        <w:rPr>
          <w:rFonts w:ascii="Arial" w:hAnsi="Arial" w:eastAsia="宋体" w:cs="Arial"/>
          <w:b/>
          <w:bCs/>
          <w:color w:val="000000"/>
          <w:kern w:val="0"/>
          <w:sz w:val="29"/>
        </w:rPr>
        <w:t>（三）绩效评级结果应用情况</w:t>
      </w:r>
    </w:p>
    <w:p>
      <w:pPr>
        <w:widowControl/>
        <w:shd w:val="clear" w:color="auto" w:fill="FFFFFF"/>
        <w:spacing w:line="453" w:lineRule="atLeast"/>
        <w:ind w:firstLine="5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Arial" w:hAnsi="Arial" w:eastAsia="宋体" w:cs="Arial"/>
          <w:color w:val="000000"/>
          <w:kern w:val="0"/>
          <w:sz w:val="29"/>
          <w:szCs w:val="29"/>
          <w:lang w:val="en-US" w:eastAsia="zh-CN"/>
        </w:rPr>
        <w:t xml:space="preserve">    </w:t>
      </w:r>
      <w:r>
        <w:rPr>
          <w:rFonts w:hint="eastAsia" w:ascii="宋体" w:hAnsi="宋体" w:eastAsia="宋体" w:cs="宋体"/>
          <w:i w:val="0"/>
          <w:iCs w:val="0"/>
          <w:caps w:val="0"/>
          <w:color w:val="222222"/>
          <w:spacing w:val="0"/>
          <w:sz w:val="24"/>
          <w:szCs w:val="24"/>
          <w:shd w:val="clear" w:fill="FFFFFF"/>
          <w:lang w:val="en-US" w:eastAsia="zh-CN"/>
        </w:rPr>
        <w:t>1.部门绩效评价结果应用情况</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加强绩效评价结果应用，我单位将绩效自评结果作为以后年度该项目预算编制和安排财政资金的重要参考依据；将绩效自评结果按照要求向社会公开，自觉接受社会监督。</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2.部门绩效评价结果拟应用情况</w:t>
      </w:r>
    </w:p>
    <w:p>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sectPr>
          <w:footerReference r:id="rId3" w:type="default"/>
          <w:pgSz w:w="11900" w:h="16820"/>
          <w:pgMar w:top="1429" w:right="1445" w:bottom="1218" w:left="1494" w:header="0" w:footer="1079" w:gutter="0"/>
          <w:cols w:space="720" w:num="1"/>
        </w:sectPr>
      </w:pPr>
      <w:r>
        <w:rPr>
          <w:rFonts w:hint="eastAsia" w:ascii="宋体" w:hAnsi="宋体" w:eastAsia="宋体" w:cs="宋体"/>
          <w:i w:val="0"/>
          <w:iCs w:val="0"/>
          <w:caps w:val="0"/>
          <w:color w:val="222222"/>
          <w:spacing w:val="0"/>
          <w:sz w:val="24"/>
          <w:szCs w:val="24"/>
          <w:shd w:val="clear" w:fill="FFFFFF"/>
          <w:lang w:val="en-US" w:eastAsia="zh-CN"/>
        </w:rPr>
        <w:t>我单位将绩效自评结果与2021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pPr>
        <w:widowControl/>
        <w:shd w:val="clear" w:color="auto" w:fill="FFFFFF"/>
        <w:spacing w:line="453" w:lineRule="atLeast"/>
        <w:jc w:val="both"/>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第四部分、名词解释</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一、财政拨款收入：指财政部门当年拨付的资金。</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二、事业收入：指事业单位开展专业业务活动及辅助活动所取得的收入。</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三、经营收入：指事业单位在专业业务活动及其辅助活动之外开展非独立核算经营活动取得的收入。</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四、其他收入：指除上述“财政拨款收入”、“事业收入”、“经营收入”等以外的收入。</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六、年初结转和结余：指以前年度尚未完成、结转到本年 按有关规定继续使用的资金。</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七、结余分配：指事业单位按规定提取的职工福利基金、事业基金和缴纳的所得税，以及建设单位按规定应交回的基本建设竣工项目结余资金。</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八、年末结转和结余：指本年度或以前年度预算安排、因客观条件发生变化无法按原计划实施，需要延迟到以后年度按有关规定继续使用的资金。</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九、基本支出：指为保障机构正常运转、完成日常工作任务而发生的人员支出和公用支出。</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十、项目支出：指在基本支出之外为完成特定行政任务和事业发展目标所发生的支出。</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十一、经营支出：指事业单位在专业业务活动及其辅助活动之外开展非独立核算经营活动发生的支出。</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453" w:lineRule="atLeast"/>
        <w:jc w:val="both"/>
        <w:rPr>
          <w:rFonts w:hint="eastAsia" w:ascii="宋体" w:hAnsi="宋体" w:eastAsia="宋体" w:cs="宋体"/>
          <w:i w:val="0"/>
          <w:iCs w:val="0"/>
          <w:caps w:val="0"/>
          <w:color w:val="222222"/>
          <w:spacing w:val="0"/>
          <w:sz w:val="24"/>
          <w:szCs w:val="24"/>
          <w:shd w:val="clear" w:fill="FFFFFF"/>
          <w:lang w:val="en-US" w:eastAsia="zh-CN"/>
        </w:rPr>
      </w:pPr>
    </w:p>
    <w:p>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pPr>
        <w:widowControl/>
        <w:shd w:val="clear" w:color="auto" w:fill="FFFFFF"/>
        <w:spacing w:line="453" w:lineRule="atLeast"/>
        <w:jc w:val="both"/>
      </w:pPr>
      <w:r>
        <w:rPr>
          <w:rFonts w:hint="default" w:ascii="Arial" w:hAnsi="Arial" w:eastAsia="宋体" w:cs="Arial"/>
          <w:i w:val="0"/>
          <w:iCs w:val="0"/>
          <w:caps w:val="0"/>
          <w:color w:val="222222"/>
          <w:spacing w:val="0"/>
          <w:sz w:val="18"/>
          <w:szCs w:val="18"/>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35"/>
      <w:rPr>
        <w:rFonts w:ascii="宋体" w:hAnsi="宋体" w:eastAsia="宋体" w:cs="宋体"/>
        <w:sz w:val="13"/>
        <w:szCs w:val="13"/>
      </w:rPr>
    </w:pPr>
    <w:r>
      <w:rPr>
        <w:rFonts w:ascii="宋体" w:hAnsi="宋体" w:eastAsia="宋体" w:cs="宋体"/>
        <w:spacing w:val="-4"/>
        <w:sz w:val="13"/>
        <w:szCs w:val="13"/>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C4574"/>
    <w:multiLevelType w:val="singleLevel"/>
    <w:tmpl w:val="8F3C45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zAwMWE2Y2Y2MjI1OTI0YWFjMTQ2MGRiYzE2Y2MifQ=="/>
  </w:docVars>
  <w:rsids>
    <w:rsidRoot w:val="26E37410"/>
    <w:rsid w:val="26E37410"/>
    <w:rsid w:val="35286B57"/>
    <w:rsid w:val="417E3BBC"/>
    <w:rsid w:val="470E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21"/>
    <w:basedOn w:val="3"/>
    <w:qFormat/>
    <w:uiPriority w:val="0"/>
    <w:rPr>
      <w:rFonts w:hint="eastAsia" w:ascii="宋体" w:hAnsi="宋体" w:eastAsia="宋体" w:cs="宋体"/>
      <w:color w:val="333333"/>
      <w:sz w:val="18"/>
      <w:szCs w:val="18"/>
      <w:u w:val="none"/>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8049</Words>
  <Characters>8937</Characters>
  <Lines>0</Lines>
  <Paragraphs>0</Paragraphs>
  <TotalTime>6</TotalTime>
  <ScaleCrop>false</ScaleCrop>
  <LinksUpToDate>false</LinksUpToDate>
  <CharactersWithSpaces>9103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2023-08-22T01:09:00Z</dcterms:created>
  <dc:creator>莲牵夕梦</dc:creator>
  <cp:lastModifiedBy>莲牵夕梦</cp:lastModifiedBy>
  <dcterms:modified xsi:type="dcterms:W3CDTF">2023-08-22T08:19:58Z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B3EE297BB761480188F21B702DECAA27_11</vt:lpwstr>
  </property>
</Properties>
</file>