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36180">
      <w:pPr>
        <w:overflowPunct w:val="0"/>
        <w:autoSpaceDE w:val="0"/>
        <w:autoSpaceDN w:val="0"/>
        <w:spacing w:line="432" w:lineRule="atLeast"/>
        <w:ind w:left="426" w:leftChars="135"/>
        <w:rPr>
          <w:rStyle w:val="46"/>
          <w:rFonts w:ascii="Times New Roman" w:hAnsi="Times New Roman"/>
          <w:highlight w:val="none"/>
        </w:rPr>
      </w:pPr>
    </w:p>
    <w:p w14:paraId="3B4712EB">
      <w:pPr>
        <w:overflowPunct w:val="0"/>
        <w:autoSpaceDE w:val="0"/>
        <w:autoSpaceDN w:val="0"/>
        <w:spacing w:line="432" w:lineRule="atLeast"/>
        <w:ind w:left="426" w:leftChars="135"/>
        <w:rPr>
          <w:rStyle w:val="46"/>
          <w:rFonts w:ascii="Times New Roman" w:hAnsi="Times New Roman"/>
          <w:highlight w:val="none"/>
        </w:rPr>
      </w:pPr>
    </w:p>
    <w:p w14:paraId="7293CAB2">
      <w:pPr>
        <w:overflowPunct w:val="0"/>
        <w:autoSpaceDE w:val="0"/>
        <w:autoSpaceDN w:val="0"/>
        <w:spacing w:line="560" w:lineRule="exact"/>
        <w:jc w:val="center"/>
        <w:rPr>
          <w:rFonts w:hint="eastAsia" w:ascii="Times New Roman" w:hAnsi="Times New Roman" w:eastAsia="方正小标宋_GBK" w:cs="方正小标宋_GBK"/>
          <w:color w:val="000000"/>
          <w:kern w:val="0"/>
          <w:sz w:val="36"/>
          <w:szCs w:val="36"/>
          <w:highlight w:val="none"/>
        </w:rPr>
      </w:pPr>
      <w:r>
        <w:rPr>
          <w:rFonts w:hint="eastAsia" w:ascii="Times New Roman" w:hAnsi="Times New Roman" w:eastAsia="方正小标宋_GBK" w:cs="方正小标宋_GBK"/>
          <w:color w:val="000000"/>
          <w:kern w:val="0"/>
          <w:sz w:val="36"/>
          <w:szCs w:val="36"/>
          <w:highlight w:val="none"/>
          <w:lang w:val="en-US" w:eastAsia="zh-CN"/>
        </w:rPr>
        <w:t>2024年</w:t>
      </w:r>
      <w:r>
        <w:rPr>
          <w:rFonts w:hint="eastAsia" w:ascii="Times New Roman" w:hAnsi="Times New Roman" w:eastAsia="方正小标宋_GBK" w:cs="方正小标宋_GBK"/>
          <w:color w:val="000000"/>
          <w:kern w:val="0"/>
          <w:sz w:val="36"/>
          <w:szCs w:val="36"/>
          <w:highlight w:val="none"/>
          <w:lang w:eastAsia="zh-CN"/>
        </w:rPr>
        <w:t>黄石市下陆区水利和湖泊局</w:t>
      </w:r>
      <w:r>
        <w:rPr>
          <w:rFonts w:hint="eastAsia" w:ascii="Times New Roman" w:hAnsi="Times New Roman" w:eastAsia="方正小标宋_GBK" w:cs="方正小标宋_GBK"/>
          <w:color w:val="000000"/>
          <w:kern w:val="0"/>
          <w:sz w:val="36"/>
          <w:szCs w:val="36"/>
          <w:highlight w:val="none"/>
        </w:rPr>
        <w:t>部门整体支出</w:t>
      </w:r>
    </w:p>
    <w:p w14:paraId="7CA029D6">
      <w:pPr>
        <w:overflowPunct w:val="0"/>
        <w:autoSpaceDE w:val="0"/>
        <w:autoSpaceDN w:val="0"/>
        <w:spacing w:line="560" w:lineRule="exact"/>
        <w:jc w:val="center"/>
        <w:rPr>
          <w:rFonts w:ascii="Times New Roman" w:hAnsi="Times New Roman" w:eastAsia="方正小标宋_GBK" w:cs="方正小标宋_GBK"/>
          <w:color w:val="000000"/>
          <w:kern w:val="0"/>
          <w:sz w:val="36"/>
          <w:szCs w:val="36"/>
          <w:highlight w:val="none"/>
        </w:rPr>
      </w:pPr>
      <w:r>
        <w:rPr>
          <w:rFonts w:hint="eastAsia" w:ascii="Times New Roman" w:hAnsi="Times New Roman" w:eastAsia="方正小标宋_GBK" w:cs="方正小标宋_GBK"/>
          <w:color w:val="000000"/>
          <w:kern w:val="0"/>
          <w:sz w:val="36"/>
          <w:szCs w:val="36"/>
          <w:highlight w:val="none"/>
        </w:rPr>
        <w:t>绩效评价报告</w:t>
      </w:r>
    </w:p>
    <w:p w14:paraId="2771FBBE">
      <w:pPr>
        <w:overflowPunct w:val="0"/>
        <w:autoSpaceDE w:val="0"/>
        <w:autoSpaceDN w:val="0"/>
        <w:spacing w:line="560" w:lineRule="exact"/>
        <w:jc w:val="center"/>
        <w:rPr>
          <w:rFonts w:ascii="Times New Roman" w:hAnsi="Times New Roman" w:eastAsia="方正小标宋_GBK" w:cs="方正小标宋_GBK"/>
          <w:color w:val="000000"/>
          <w:kern w:val="0"/>
          <w:sz w:val="52"/>
          <w:szCs w:val="52"/>
          <w:highlight w:val="none"/>
        </w:rPr>
      </w:pPr>
    </w:p>
    <w:p w14:paraId="5AD36B62">
      <w:pPr>
        <w:overflowPunct w:val="0"/>
        <w:autoSpaceDE w:val="0"/>
        <w:autoSpaceDN w:val="0"/>
        <w:spacing w:line="560" w:lineRule="exact"/>
        <w:jc w:val="center"/>
        <w:rPr>
          <w:rFonts w:ascii="Times New Roman" w:hAnsi="Times New Roman" w:eastAsia="楷体" w:cs="楷体"/>
          <w:color w:val="000000"/>
          <w:kern w:val="0"/>
          <w:szCs w:val="32"/>
          <w:highlight w:val="none"/>
        </w:rPr>
      </w:pPr>
    </w:p>
    <w:p w14:paraId="7BCB73C0">
      <w:pPr>
        <w:overflowPunct w:val="0"/>
        <w:autoSpaceDE w:val="0"/>
        <w:autoSpaceDN w:val="0"/>
        <w:spacing w:line="432" w:lineRule="atLeast"/>
        <w:jc w:val="center"/>
        <w:rPr>
          <w:rFonts w:ascii="Times New Roman" w:hAnsi="Times New Roman" w:eastAsia="宋体" w:cs="宋体"/>
          <w:color w:val="000000"/>
          <w:kern w:val="0"/>
          <w:sz w:val="24"/>
          <w:szCs w:val="24"/>
          <w:highlight w:val="none"/>
        </w:rPr>
      </w:pPr>
    </w:p>
    <w:p w14:paraId="47249532">
      <w:pPr>
        <w:overflowPunct w:val="0"/>
        <w:autoSpaceDE w:val="0"/>
        <w:autoSpaceDN w:val="0"/>
        <w:spacing w:line="432" w:lineRule="atLeast"/>
        <w:jc w:val="center"/>
        <w:rPr>
          <w:rFonts w:ascii="Times New Roman" w:hAnsi="Times New Roman" w:eastAsia="宋体" w:cs="宋体"/>
          <w:color w:val="000000"/>
          <w:kern w:val="0"/>
          <w:sz w:val="24"/>
          <w:szCs w:val="24"/>
          <w:highlight w:val="none"/>
        </w:rPr>
      </w:pPr>
    </w:p>
    <w:p w14:paraId="617C7029">
      <w:pPr>
        <w:overflowPunct w:val="0"/>
        <w:autoSpaceDE w:val="0"/>
        <w:autoSpaceDN w:val="0"/>
        <w:spacing w:line="432" w:lineRule="atLeast"/>
        <w:jc w:val="center"/>
        <w:rPr>
          <w:rFonts w:ascii="Times New Roman" w:hAnsi="Times New Roman" w:eastAsia="宋体" w:cs="宋体"/>
          <w:color w:val="000000"/>
          <w:kern w:val="0"/>
          <w:sz w:val="24"/>
          <w:szCs w:val="24"/>
          <w:highlight w:val="none"/>
        </w:rPr>
      </w:pPr>
    </w:p>
    <w:p w14:paraId="07DC43CD">
      <w:pPr>
        <w:overflowPunct w:val="0"/>
        <w:autoSpaceDE w:val="0"/>
        <w:autoSpaceDN w:val="0"/>
        <w:spacing w:line="432" w:lineRule="atLeast"/>
        <w:jc w:val="center"/>
        <w:rPr>
          <w:rFonts w:ascii="Times New Roman" w:hAnsi="Times New Roman" w:eastAsia="宋体" w:cs="宋体"/>
          <w:color w:val="000000"/>
          <w:kern w:val="0"/>
          <w:sz w:val="24"/>
          <w:szCs w:val="24"/>
          <w:highlight w:val="none"/>
        </w:rPr>
      </w:pPr>
    </w:p>
    <w:p w14:paraId="77743F0F">
      <w:pPr>
        <w:overflowPunct w:val="0"/>
        <w:autoSpaceDE w:val="0"/>
        <w:autoSpaceDN w:val="0"/>
        <w:spacing w:line="432" w:lineRule="atLeast"/>
        <w:jc w:val="center"/>
        <w:rPr>
          <w:rFonts w:ascii="Times New Roman" w:hAnsi="Times New Roman" w:eastAsia="宋体" w:cs="宋体"/>
          <w:color w:val="000000"/>
          <w:kern w:val="0"/>
          <w:sz w:val="24"/>
          <w:szCs w:val="24"/>
          <w:highlight w:val="none"/>
        </w:rPr>
      </w:pPr>
    </w:p>
    <w:p w14:paraId="2AE7C05D">
      <w:pPr>
        <w:overflowPunct w:val="0"/>
        <w:autoSpaceDE w:val="0"/>
        <w:autoSpaceDN w:val="0"/>
        <w:spacing w:line="432" w:lineRule="atLeast"/>
        <w:jc w:val="center"/>
        <w:rPr>
          <w:rFonts w:ascii="Times New Roman" w:hAnsi="Times New Roman" w:eastAsia="宋体" w:cs="宋体"/>
          <w:color w:val="000000"/>
          <w:kern w:val="0"/>
          <w:sz w:val="24"/>
          <w:szCs w:val="24"/>
          <w:highlight w:val="none"/>
        </w:rPr>
      </w:pPr>
    </w:p>
    <w:p w14:paraId="7DE7BC4B">
      <w:pPr>
        <w:pStyle w:val="7"/>
        <w:overflowPunct w:val="0"/>
        <w:autoSpaceDE w:val="0"/>
        <w:autoSpaceDN w:val="0"/>
        <w:rPr>
          <w:rFonts w:ascii="Times New Roman" w:hAnsi="Times New Roman"/>
          <w:highlight w:val="none"/>
        </w:rPr>
      </w:pPr>
    </w:p>
    <w:tbl>
      <w:tblPr>
        <w:tblStyle w:val="2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50"/>
        <w:gridCol w:w="433"/>
        <w:gridCol w:w="5690"/>
      </w:tblGrid>
      <w:tr w14:paraId="76221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1350" w:type="dxa"/>
            <w:tcBorders>
              <w:tl2br w:val="nil"/>
              <w:tr2bl w:val="nil"/>
            </w:tcBorders>
            <w:vAlign w:val="center"/>
          </w:tcPr>
          <w:p w14:paraId="3E2F7C90">
            <w:pPr>
              <w:overflowPunct w:val="0"/>
              <w:autoSpaceDE w:val="0"/>
              <w:autoSpaceDN w:val="0"/>
              <w:rPr>
                <w:rFonts w:ascii="Times New Roman" w:hAnsi="Times New Roman" w:eastAsia="宋体" w:cs="宋体"/>
                <w:color w:val="000000"/>
                <w:kern w:val="0"/>
                <w:sz w:val="24"/>
                <w:szCs w:val="24"/>
                <w:highlight w:val="none"/>
              </w:rPr>
            </w:pPr>
            <w:r>
              <w:rPr>
                <w:rFonts w:hint="eastAsia" w:ascii="Times New Roman" w:hAnsi="Times New Roman" w:eastAsia="黑体" w:cs="黑体"/>
                <w:color w:val="000000"/>
                <w:kern w:val="0"/>
                <w:sz w:val="24"/>
                <w:szCs w:val="24"/>
                <w:highlight w:val="none"/>
              </w:rPr>
              <w:t>报告名称：</w:t>
            </w:r>
          </w:p>
        </w:tc>
        <w:tc>
          <w:tcPr>
            <w:tcW w:w="6123" w:type="dxa"/>
            <w:gridSpan w:val="2"/>
            <w:tcBorders>
              <w:bottom w:val="single" w:color="auto" w:sz="4" w:space="0"/>
            </w:tcBorders>
            <w:vAlign w:val="center"/>
          </w:tcPr>
          <w:p w14:paraId="3ECA68C5">
            <w:pPr>
              <w:overflowPunct w:val="0"/>
              <w:autoSpaceDE w:val="0"/>
              <w:autoSpaceDN w:val="0"/>
              <w:rPr>
                <w:rFonts w:ascii="Times New Roman" w:hAnsi="Times New Roman" w:eastAsia="黑体" w:cs="宋体"/>
                <w:color w:val="000000"/>
                <w:kern w:val="0"/>
                <w:sz w:val="24"/>
                <w:szCs w:val="24"/>
                <w:highlight w:val="none"/>
              </w:rPr>
            </w:pPr>
            <w:r>
              <w:rPr>
                <w:rFonts w:hint="eastAsia" w:ascii="Times New Roman" w:hAnsi="Times New Roman" w:eastAsia="黑体" w:cs="黑体"/>
                <w:color w:val="000000"/>
                <w:kern w:val="0"/>
                <w:sz w:val="24"/>
                <w:szCs w:val="24"/>
                <w:highlight w:val="none"/>
              </w:rPr>
              <w:t>2024年</w:t>
            </w:r>
            <w:r>
              <w:rPr>
                <w:rFonts w:hint="eastAsia" w:ascii="Times New Roman" w:hAnsi="Times New Roman" w:eastAsia="黑体" w:cs="黑体"/>
                <w:color w:val="000000"/>
                <w:kern w:val="0"/>
                <w:sz w:val="24"/>
                <w:szCs w:val="24"/>
                <w:highlight w:val="none"/>
                <w:lang w:eastAsia="zh-CN"/>
              </w:rPr>
              <w:t>黄石市下陆区水利和湖泊局</w:t>
            </w:r>
            <w:r>
              <w:rPr>
                <w:rFonts w:hint="eastAsia" w:ascii="Times New Roman" w:hAnsi="Times New Roman" w:eastAsia="黑体" w:cs="黑体"/>
                <w:color w:val="000000"/>
                <w:kern w:val="0"/>
                <w:sz w:val="24"/>
                <w:szCs w:val="24"/>
                <w:highlight w:val="none"/>
              </w:rPr>
              <w:t>部门整体支出绩效评价</w:t>
            </w:r>
          </w:p>
        </w:tc>
      </w:tr>
      <w:tr w14:paraId="59676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1350" w:type="dxa"/>
            <w:tcBorders>
              <w:tl2br w:val="nil"/>
              <w:tr2bl w:val="nil"/>
            </w:tcBorders>
            <w:vAlign w:val="center"/>
          </w:tcPr>
          <w:p w14:paraId="154649DD">
            <w:pPr>
              <w:overflowPunct w:val="0"/>
              <w:autoSpaceDE w:val="0"/>
              <w:autoSpaceDN w:val="0"/>
              <w:rPr>
                <w:rFonts w:ascii="Times New Roman" w:hAnsi="Times New Roman" w:eastAsia="宋体" w:cs="宋体"/>
                <w:color w:val="000000"/>
                <w:kern w:val="0"/>
                <w:sz w:val="24"/>
                <w:szCs w:val="24"/>
                <w:highlight w:val="none"/>
              </w:rPr>
            </w:pPr>
            <w:r>
              <w:rPr>
                <w:rFonts w:hint="eastAsia" w:ascii="Times New Roman" w:hAnsi="Times New Roman" w:eastAsia="黑体" w:cs="黑体"/>
                <w:color w:val="000000"/>
                <w:kern w:val="0"/>
                <w:sz w:val="24"/>
                <w:szCs w:val="24"/>
                <w:highlight w:val="none"/>
              </w:rPr>
              <w:t>预算部门：</w:t>
            </w:r>
          </w:p>
        </w:tc>
        <w:tc>
          <w:tcPr>
            <w:tcW w:w="6123" w:type="dxa"/>
            <w:gridSpan w:val="2"/>
            <w:tcBorders>
              <w:top w:val="single" w:color="auto" w:sz="4" w:space="0"/>
              <w:bottom w:val="single" w:color="auto" w:sz="4" w:space="0"/>
            </w:tcBorders>
            <w:vAlign w:val="center"/>
          </w:tcPr>
          <w:p w14:paraId="448C6765">
            <w:pPr>
              <w:overflowPunct w:val="0"/>
              <w:autoSpaceDE w:val="0"/>
              <w:autoSpaceDN w:val="0"/>
              <w:rPr>
                <w:rFonts w:ascii="Times New Roman" w:hAnsi="Times New Roman" w:eastAsia="宋体" w:cs="宋体"/>
                <w:color w:val="000000"/>
                <w:kern w:val="0"/>
                <w:sz w:val="24"/>
                <w:szCs w:val="24"/>
                <w:highlight w:val="none"/>
              </w:rPr>
            </w:pPr>
            <w:r>
              <w:rPr>
                <w:rFonts w:hint="eastAsia" w:ascii="Times New Roman" w:hAnsi="Times New Roman" w:eastAsia="黑体" w:cs="黑体"/>
                <w:color w:val="000000"/>
                <w:kern w:val="0"/>
                <w:sz w:val="24"/>
                <w:szCs w:val="24"/>
                <w:highlight w:val="none"/>
                <w:lang w:eastAsia="zh-CN"/>
              </w:rPr>
              <w:t>黄石市下陆区水利和湖泊局</w:t>
            </w:r>
            <w:r>
              <w:rPr>
                <w:rFonts w:hint="eastAsia" w:ascii="Times New Roman" w:hAnsi="Times New Roman" w:eastAsia="黑体" w:cs="黑体"/>
                <w:color w:val="000000"/>
                <w:kern w:val="0"/>
                <w:sz w:val="24"/>
                <w:szCs w:val="24"/>
                <w:highlight w:val="none"/>
              </w:rPr>
              <w:t xml:space="preserve"> </w:t>
            </w:r>
          </w:p>
        </w:tc>
      </w:tr>
      <w:tr w14:paraId="4F2A5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1350" w:type="dxa"/>
            <w:tcBorders>
              <w:tl2br w:val="nil"/>
              <w:tr2bl w:val="nil"/>
            </w:tcBorders>
            <w:vAlign w:val="center"/>
          </w:tcPr>
          <w:p w14:paraId="6F9F76B4">
            <w:pPr>
              <w:overflowPunct w:val="0"/>
              <w:autoSpaceDE w:val="0"/>
              <w:autoSpaceDN w:val="0"/>
              <w:rPr>
                <w:rFonts w:ascii="Times New Roman" w:hAnsi="Times New Roman" w:eastAsia="宋体" w:cs="宋体"/>
                <w:color w:val="000000"/>
                <w:kern w:val="0"/>
                <w:sz w:val="24"/>
                <w:szCs w:val="24"/>
                <w:highlight w:val="none"/>
              </w:rPr>
            </w:pPr>
            <w:r>
              <w:rPr>
                <w:rFonts w:hint="eastAsia" w:ascii="Times New Roman" w:hAnsi="Times New Roman" w:eastAsia="黑体" w:cs="黑体"/>
                <w:color w:val="000000"/>
                <w:kern w:val="0"/>
                <w:sz w:val="24"/>
                <w:szCs w:val="24"/>
                <w:highlight w:val="none"/>
              </w:rPr>
              <w:t>预算年度：</w:t>
            </w:r>
          </w:p>
        </w:tc>
        <w:tc>
          <w:tcPr>
            <w:tcW w:w="6123" w:type="dxa"/>
            <w:gridSpan w:val="2"/>
            <w:tcBorders>
              <w:top w:val="single" w:color="auto" w:sz="4" w:space="0"/>
              <w:bottom w:val="single" w:color="auto" w:sz="4" w:space="0"/>
            </w:tcBorders>
            <w:vAlign w:val="center"/>
          </w:tcPr>
          <w:p w14:paraId="5399D26C">
            <w:pPr>
              <w:overflowPunct w:val="0"/>
              <w:autoSpaceDE w:val="0"/>
              <w:autoSpaceDN w:val="0"/>
              <w:rPr>
                <w:rFonts w:ascii="Times New Roman" w:hAnsi="Times New Roman" w:eastAsia="宋体" w:cs="宋体"/>
                <w:color w:val="000000"/>
                <w:kern w:val="0"/>
                <w:sz w:val="24"/>
                <w:szCs w:val="24"/>
                <w:highlight w:val="none"/>
              </w:rPr>
            </w:pPr>
            <w:r>
              <w:rPr>
                <w:rFonts w:hint="eastAsia" w:ascii="Times New Roman" w:hAnsi="Times New Roman" w:eastAsia="黑体" w:cs="黑体"/>
                <w:color w:val="000000"/>
                <w:kern w:val="0"/>
                <w:sz w:val="24"/>
                <w:szCs w:val="24"/>
                <w:highlight w:val="none"/>
              </w:rPr>
              <w:t xml:space="preserve">2024年度                                    </w:t>
            </w:r>
          </w:p>
        </w:tc>
      </w:tr>
      <w:tr w14:paraId="02EA0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1350" w:type="dxa"/>
            <w:tcBorders>
              <w:tl2br w:val="nil"/>
              <w:tr2bl w:val="nil"/>
            </w:tcBorders>
            <w:vAlign w:val="center"/>
          </w:tcPr>
          <w:p w14:paraId="273D4081">
            <w:pPr>
              <w:overflowPunct w:val="0"/>
              <w:autoSpaceDE w:val="0"/>
              <w:autoSpaceDN w:val="0"/>
              <w:rPr>
                <w:rFonts w:ascii="Times New Roman" w:hAnsi="Times New Roman" w:eastAsia="黑体" w:cs="黑体"/>
                <w:color w:val="000000"/>
                <w:kern w:val="0"/>
                <w:sz w:val="24"/>
                <w:szCs w:val="24"/>
                <w:highlight w:val="none"/>
              </w:rPr>
            </w:pPr>
            <w:r>
              <w:rPr>
                <w:rFonts w:hint="eastAsia" w:ascii="Times New Roman" w:hAnsi="Times New Roman" w:eastAsia="黑体" w:cs="黑体"/>
                <w:color w:val="000000"/>
                <w:kern w:val="0"/>
                <w:sz w:val="24"/>
                <w:szCs w:val="24"/>
                <w:highlight w:val="none"/>
              </w:rPr>
              <w:t>评价类型：</w:t>
            </w:r>
          </w:p>
        </w:tc>
        <w:tc>
          <w:tcPr>
            <w:tcW w:w="6123" w:type="dxa"/>
            <w:gridSpan w:val="2"/>
            <w:tcBorders>
              <w:top w:val="single" w:color="auto" w:sz="4" w:space="0"/>
              <w:bottom w:val="single" w:color="auto" w:sz="4" w:space="0"/>
              <w:tl2br w:val="nil"/>
              <w:tr2bl w:val="nil"/>
            </w:tcBorders>
            <w:vAlign w:val="center"/>
          </w:tcPr>
          <w:p w14:paraId="73E0675B">
            <w:pPr>
              <w:overflowPunct w:val="0"/>
              <w:autoSpaceDE w:val="0"/>
              <w:autoSpaceDN w:val="0"/>
              <w:rPr>
                <w:rFonts w:ascii="Times New Roman" w:hAnsi="Times New Roman" w:eastAsia="黑体" w:cs="黑体"/>
                <w:color w:val="000000"/>
                <w:kern w:val="0"/>
                <w:sz w:val="24"/>
                <w:szCs w:val="24"/>
                <w:highlight w:val="none"/>
              </w:rPr>
            </w:pPr>
            <w:r>
              <w:rPr>
                <w:rFonts w:hint="eastAsia" w:ascii="Times New Roman" w:hAnsi="Times New Roman" w:eastAsia="黑体" w:cs="黑体"/>
                <w:color w:val="000000"/>
                <w:kern w:val="0"/>
                <w:sz w:val="24"/>
                <w:szCs w:val="24"/>
                <w:highlight w:val="none"/>
              </w:rPr>
              <w:t>项目</w:t>
            </w:r>
            <w:r>
              <w:rPr>
                <w:rFonts w:hint="eastAsia" w:ascii="Times New Roman" w:hAnsi="Times New Roman" w:eastAsia="黑体" w:cs="黑体"/>
                <w:color w:val="000000"/>
                <w:kern w:val="0"/>
                <w:sz w:val="24"/>
                <w:szCs w:val="24"/>
                <w:highlight w:val="none"/>
              </w:rPr>
              <w:sym w:font="Wingdings 2" w:char="00A3"/>
            </w:r>
            <w:r>
              <w:rPr>
                <w:rFonts w:hint="eastAsia" w:ascii="Times New Roman" w:hAnsi="Times New Roman" w:eastAsia="黑体" w:cs="黑体"/>
                <w:color w:val="000000"/>
                <w:kern w:val="0"/>
                <w:sz w:val="24"/>
                <w:szCs w:val="24"/>
                <w:highlight w:val="none"/>
              </w:rPr>
              <w:t>　　 政策</w:t>
            </w:r>
            <w:r>
              <w:rPr>
                <w:rFonts w:hint="eastAsia" w:ascii="Times New Roman" w:hAnsi="Times New Roman" w:eastAsia="黑体" w:cs="黑体"/>
                <w:color w:val="000000"/>
                <w:kern w:val="0"/>
                <w:sz w:val="24"/>
                <w:szCs w:val="24"/>
                <w:highlight w:val="none"/>
              </w:rPr>
              <w:sym w:font="Wingdings 2" w:char="00A3"/>
            </w:r>
            <w:r>
              <w:rPr>
                <w:rFonts w:hint="eastAsia" w:ascii="Times New Roman" w:hAnsi="Times New Roman" w:eastAsia="黑体" w:cs="黑体"/>
                <w:color w:val="000000"/>
                <w:kern w:val="0"/>
                <w:sz w:val="24"/>
                <w:szCs w:val="24"/>
                <w:highlight w:val="none"/>
              </w:rPr>
              <w:t>　　部门整体</w:t>
            </w:r>
            <w:r>
              <w:rPr>
                <w:rFonts w:hint="eastAsia" w:ascii="Times New Roman" w:hAnsi="Times New Roman" w:eastAsia="黑体" w:cs="黑体"/>
                <w:color w:val="000000"/>
                <w:kern w:val="0"/>
                <w:sz w:val="24"/>
                <w:szCs w:val="24"/>
                <w:highlight w:val="none"/>
              </w:rPr>
              <w:sym w:font="Wingdings 2" w:char="0052"/>
            </w:r>
          </w:p>
        </w:tc>
      </w:tr>
      <w:tr w14:paraId="0E06C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1350" w:type="dxa"/>
            <w:vAlign w:val="center"/>
          </w:tcPr>
          <w:p w14:paraId="681DD2EA">
            <w:pPr>
              <w:overflowPunct w:val="0"/>
              <w:autoSpaceDE w:val="0"/>
              <w:autoSpaceDN w:val="0"/>
              <w:rPr>
                <w:rFonts w:ascii="Times New Roman" w:hAnsi="Times New Roman" w:eastAsia="黑体" w:cs="黑体"/>
                <w:color w:val="000000"/>
                <w:kern w:val="0"/>
                <w:sz w:val="24"/>
                <w:szCs w:val="24"/>
                <w:highlight w:val="none"/>
              </w:rPr>
            </w:pPr>
            <w:r>
              <w:rPr>
                <w:rFonts w:hint="eastAsia" w:ascii="Times New Roman" w:hAnsi="Times New Roman" w:eastAsia="黑体" w:cs="黑体"/>
                <w:color w:val="000000"/>
                <w:kern w:val="0"/>
                <w:sz w:val="24"/>
                <w:szCs w:val="24"/>
                <w:highlight w:val="none"/>
              </w:rPr>
              <w:t>评价单位：</w:t>
            </w:r>
          </w:p>
        </w:tc>
        <w:tc>
          <w:tcPr>
            <w:tcW w:w="6123" w:type="dxa"/>
            <w:gridSpan w:val="2"/>
            <w:tcBorders>
              <w:top w:val="single" w:color="auto" w:sz="4" w:space="0"/>
              <w:bottom w:val="single" w:color="auto" w:sz="4" w:space="0"/>
            </w:tcBorders>
            <w:vAlign w:val="center"/>
          </w:tcPr>
          <w:p w14:paraId="5B31513F">
            <w:pPr>
              <w:overflowPunct w:val="0"/>
              <w:autoSpaceDE w:val="0"/>
              <w:autoSpaceDN w:val="0"/>
              <w:rPr>
                <w:rFonts w:ascii="Times New Roman" w:hAnsi="Times New Roman" w:eastAsia="黑体" w:cs="黑体"/>
                <w:color w:val="000000"/>
                <w:kern w:val="0"/>
                <w:sz w:val="24"/>
                <w:szCs w:val="24"/>
                <w:highlight w:val="none"/>
              </w:rPr>
            </w:pPr>
            <w:r>
              <w:rPr>
                <w:rFonts w:hint="eastAsia" w:ascii="Times New Roman" w:hAnsi="Times New Roman" w:eastAsia="黑体" w:cs="黑体"/>
                <w:color w:val="000000"/>
                <w:kern w:val="0"/>
                <w:sz w:val="24"/>
                <w:szCs w:val="24"/>
                <w:highlight w:val="none"/>
                <w:lang w:eastAsia="zh-CN"/>
              </w:rPr>
              <w:t>湖北永九星房地产资产评估有限公司</w:t>
            </w:r>
          </w:p>
        </w:tc>
      </w:tr>
      <w:tr w14:paraId="5EFEA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1783" w:type="dxa"/>
            <w:gridSpan w:val="2"/>
            <w:vAlign w:val="center"/>
          </w:tcPr>
          <w:p w14:paraId="0859ADD2">
            <w:pPr>
              <w:overflowPunct w:val="0"/>
              <w:autoSpaceDE w:val="0"/>
              <w:autoSpaceDN w:val="0"/>
              <w:rPr>
                <w:rFonts w:ascii="Times New Roman" w:hAnsi="Times New Roman" w:eastAsia="黑体" w:cs="黑体"/>
                <w:color w:val="000000"/>
                <w:kern w:val="0"/>
                <w:sz w:val="24"/>
                <w:szCs w:val="24"/>
                <w:highlight w:val="none"/>
              </w:rPr>
            </w:pPr>
            <w:r>
              <w:rPr>
                <w:rFonts w:hint="eastAsia" w:ascii="Times New Roman" w:hAnsi="Times New Roman" w:eastAsia="黑体" w:cs="黑体"/>
                <w:color w:val="000000"/>
                <w:kern w:val="0"/>
                <w:sz w:val="24"/>
                <w:szCs w:val="24"/>
                <w:highlight w:val="none"/>
              </w:rPr>
              <w:t>正式提交日期：</w:t>
            </w:r>
          </w:p>
        </w:tc>
        <w:tc>
          <w:tcPr>
            <w:tcW w:w="5690" w:type="dxa"/>
            <w:tcBorders>
              <w:bottom w:val="single" w:color="auto" w:sz="4" w:space="0"/>
            </w:tcBorders>
            <w:vAlign w:val="center"/>
          </w:tcPr>
          <w:p w14:paraId="736E068F">
            <w:pPr>
              <w:overflowPunct w:val="0"/>
              <w:autoSpaceDE w:val="0"/>
              <w:autoSpaceDN w:val="0"/>
              <w:rPr>
                <w:rFonts w:ascii="Times New Roman" w:hAnsi="Times New Roman" w:eastAsia="黑体" w:cs="黑体"/>
                <w:color w:val="000000"/>
                <w:kern w:val="0"/>
                <w:sz w:val="24"/>
                <w:szCs w:val="24"/>
                <w:highlight w:val="none"/>
              </w:rPr>
            </w:pPr>
            <w:r>
              <w:rPr>
                <w:rFonts w:hint="eastAsia" w:ascii="Times New Roman" w:hAnsi="Times New Roman" w:eastAsia="黑体" w:cs="黑体"/>
                <w:color w:val="000000"/>
                <w:kern w:val="0"/>
                <w:sz w:val="24"/>
                <w:szCs w:val="24"/>
                <w:highlight w:val="none"/>
              </w:rPr>
              <w:t>2025年</w:t>
            </w:r>
            <w:r>
              <w:rPr>
                <w:rFonts w:hint="eastAsia" w:ascii="Times New Roman" w:hAnsi="Times New Roman" w:eastAsia="黑体" w:cs="黑体"/>
                <w:color w:val="000000"/>
                <w:kern w:val="0"/>
                <w:sz w:val="24"/>
                <w:szCs w:val="24"/>
                <w:highlight w:val="none"/>
                <w:lang w:val="en-US" w:eastAsia="zh-CN"/>
              </w:rPr>
              <w:t>8</w:t>
            </w:r>
            <w:r>
              <w:rPr>
                <w:rFonts w:hint="eastAsia" w:ascii="Times New Roman" w:hAnsi="Times New Roman" w:eastAsia="黑体" w:cs="黑体"/>
                <w:color w:val="000000"/>
                <w:kern w:val="0"/>
                <w:sz w:val="24"/>
                <w:szCs w:val="24"/>
                <w:highlight w:val="none"/>
              </w:rPr>
              <w:t>月</w:t>
            </w:r>
          </w:p>
        </w:tc>
      </w:tr>
    </w:tbl>
    <w:p w14:paraId="6990EC4A">
      <w:pPr>
        <w:overflowPunct w:val="0"/>
        <w:autoSpaceDE w:val="0"/>
        <w:autoSpaceDN w:val="0"/>
        <w:spacing w:line="552" w:lineRule="atLeast"/>
        <w:ind w:firstLine="1652" w:firstLineChars="700"/>
        <w:rPr>
          <w:rFonts w:ascii="Times New Roman" w:hAnsi="Times New Roman" w:eastAsia="黑体" w:cs="黑体"/>
          <w:color w:val="000000"/>
          <w:kern w:val="0"/>
          <w:sz w:val="24"/>
          <w:szCs w:val="24"/>
          <w:highlight w:val="none"/>
        </w:rPr>
      </w:pPr>
    </w:p>
    <w:p w14:paraId="77C5B808">
      <w:pPr>
        <w:overflowPunct w:val="0"/>
        <w:autoSpaceDE w:val="0"/>
        <w:autoSpaceDN w:val="0"/>
        <w:jc w:val="left"/>
        <w:rPr>
          <w:rFonts w:ascii="Times New Roman" w:hAnsi="Times New Roman" w:eastAsia="黑体" w:cs="黑体"/>
          <w:sz w:val="44"/>
          <w:szCs w:val="44"/>
          <w:highlight w:val="none"/>
        </w:rPr>
        <w:sectPr>
          <w:headerReference r:id="rId3" w:type="default"/>
          <w:headerReference r:id="rId4" w:type="even"/>
          <w:pgSz w:w="11906" w:h="16838"/>
          <w:pgMar w:top="1417" w:right="1247" w:bottom="1417" w:left="1587" w:header="1134" w:footer="1134" w:gutter="0"/>
          <w:pgNumType w:fmt="decimal" w:start="1"/>
          <w:cols w:space="0" w:num="1"/>
          <w:docGrid w:type="linesAndChars" w:linePitch="580" w:charSpace="-1024"/>
        </w:sectPr>
      </w:pPr>
    </w:p>
    <w:p w14:paraId="77321359">
      <w:pPr>
        <w:overflowPunct w:val="0"/>
        <w:autoSpaceDE w:val="0"/>
        <w:autoSpaceDN w:val="0"/>
        <w:spacing w:line="360" w:lineRule="auto"/>
        <w:jc w:val="center"/>
        <w:rPr>
          <w:rFonts w:ascii="Times New Roman" w:hAnsi="Times New Roman" w:eastAsia="宋体"/>
          <w:b/>
          <w:bCs/>
          <w:sz w:val="36"/>
          <w:szCs w:val="36"/>
          <w:highlight w:val="none"/>
        </w:rPr>
      </w:pPr>
      <w:r>
        <w:rPr>
          <w:rFonts w:hint="eastAsia" w:ascii="Times New Roman" w:hAnsi="Times New Roman" w:eastAsia="宋体"/>
          <w:b/>
          <w:bCs/>
          <w:sz w:val="36"/>
          <w:szCs w:val="36"/>
          <w:highlight w:val="none"/>
        </w:rPr>
        <w:t xml:space="preserve">目 </w:t>
      </w:r>
      <w:r>
        <w:rPr>
          <w:rFonts w:ascii="Times New Roman" w:hAnsi="Times New Roman" w:eastAsia="宋体"/>
          <w:b/>
          <w:bCs/>
          <w:sz w:val="36"/>
          <w:szCs w:val="36"/>
          <w:highlight w:val="none"/>
        </w:rPr>
        <w:t xml:space="preserve">   </w:t>
      </w:r>
      <w:r>
        <w:rPr>
          <w:rFonts w:hint="eastAsia" w:ascii="Times New Roman" w:hAnsi="Times New Roman" w:eastAsia="宋体"/>
          <w:b/>
          <w:bCs/>
          <w:sz w:val="36"/>
          <w:szCs w:val="36"/>
          <w:highlight w:val="none"/>
        </w:rPr>
        <w:t>录</w:t>
      </w:r>
    </w:p>
    <w:p w14:paraId="571D34B1">
      <w:pPr>
        <w:pStyle w:val="17"/>
        <w:tabs>
          <w:tab w:val="right" w:leader="dot" w:pos="9072"/>
        </w:tabs>
        <w:ind w:firstLine="552" w:firstLineChars="200"/>
        <w:rPr>
          <w:sz w:val="28"/>
          <w:szCs w:val="28"/>
          <w:highlight w:val="none"/>
        </w:rPr>
      </w:pPr>
      <w:r>
        <w:rPr>
          <w:rFonts w:hint="eastAsia"/>
          <w:sz w:val="28"/>
          <w:szCs w:val="28"/>
          <w:highlight w:val="none"/>
        </w:rPr>
        <w:fldChar w:fldCharType="begin"/>
      </w:r>
      <w:r>
        <w:rPr>
          <w:rFonts w:hint="eastAsia"/>
          <w:sz w:val="28"/>
          <w:szCs w:val="28"/>
          <w:highlight w:val="none"/>
        </w:rPr>
        <w:instrText xml:space="preserve">TOC \o "1-3" \h \u </w:instrText>
      </w:r>
      <w:r>
        <w:rPr>
          <w:rFonts w:hint="eastAsia"/>
          <w:sz w:val="28"/>
          <w:szCs w:val="28"/>
          <w:highlight w:val="none"/>
        </w:rPr>
        <w:fldChar w:fldCharType="separate"/>
      </w:r>
      <w:r>
        <w:rPr>
          <w:sz w:val="28"/>
          <w:szCs w:val="28"/>
          <w:highlight w:val="none"/>
        </w:rPr>
        <w:fldChar w:fldCharType="begin"/>
      </w:r>
      <w:r>
        <w:rPr>
          <w:sz w:val="28"/>
          <w:szCs w:val="28"/>
          <w:highlight w:val="none"/>
        </w:rPr>
        <w:instrText xml:space="preserve"> HYPERLINK \l "_Toc11765" </w:instrText>
      </w:r>
      <w:r>
        <w:rPr>
          <w:sz w:val="28"/>
          <w:szCs w:val="28"/>
          <w:highlight w:val="none"/>
        </w:rPr>
        <w:fldChar w:fldCharType="separate"/>
      </w:r>
      <w:r>
        <w:rPr>
          <w:rFonts w:hint="eastAsia"/>
          <w:sz w:val="28"/>
          <w:szCs w:val="28"/>
          <w:highlight w:val="none"/>
        </w:rPr>
        <w:t>一、评价结论</w:t>
      </w:r>
      <w:r>
        <w:rPr>
          <w:sz w:val="28"/>
          <w:szCs w:val="28"/>
          <w:highlight w:val="none"/>
        </w:rPr>
        <w:tab/>
      </w:r>
      <w:r>
        <w:rPr>
          <w:sz w:val="28"/>
          <w:szCs w:val="28"/>
          <w:highlight w:val="none"/>
        </w:rPr>
        <w:fldChar w:fldCharType="begin"/>
      </w:r>
      <w:r>
        <w:rPr>
          <w:sz w:val="28"/>
          <w:szCs w:val="28"/>
          <w:highlight w:val="none"/>
        </w:rPr>
        <w:instrText xml:space="preserve"> PAGEREF _Toc11765 \h </w:instrText>
      </w:r>
      <w:r>
        <w:rPr>
          <w:sz w:val="28"/>
          <w:szCs w:val="28"/>
          <w:highlight w:val="none"/>
        </w:rPr>
        <w:fldChar w:fldCharType="separate"/>
      </w:r>
      <w:r>
        <w:rPr>
          <w:sz w:val="28"/>
          <w:szCs w:val="28"/>
          <w:highlight w:val="none"/>
        </w:rPr>
        <w:t>1</w:t>
      </w:r>
      <w:r>
        <w:rPr>
          <w:sz w:val="28"/>
          <w:szCs w:val="28"/>
          <w:highlight w:val="none"/>
        </w:rPr>
        <w:fldChar w:fldCharType="end"/>
      </w:r>
      <w:r>
        <w:rPr>
          <w:sz w:val="28"/>
          <w:szCs w:val="28"/>
          <w:highlight w:val="none"/>
        </w:rPr>
        <w:fldChar w:fldCharType="end"/>
      </w:r>
    </w:p>
    <w:p w14:paraId="167B51C8">
      <w:pPr>
        <w:pStyle w:val="18"/>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"_Toc17088" </w:instrText>
      </w:r>
      <w:r>
        <w:rPr>
          <w:sz w:val="28"/>
          <w:szCs w:val="28"/>
          <w:highlight w:val="none"/>
        </w:rPr>
        <w:fldChar w:fldCharType="separate"/>
      </w:r>
      <w:r>
        <w:rPr>
          <w:rFonts w:hint="eastAsia"/>
          <w:sz w:val="28"/>
          <w:szCs w:val="28"/>
          <w:highlight w:val="none"/>
        </w:rPr>
        <w:t>（一）绩效评价分数和等级</w:t>
      </w:r>
      <w:r>
        <w:rPr>
          <w:sz w:val="28"/>
          <w:szCs w:val="28"/>
          <w:highlight w:val="none"/>
        </w:rPr>
        <w:tab/>
      </w:r>
      <w:r>
        <w:rPr>
          <w:sz w:val="28"/>
          <w:szCs w:val="28"/>
          <w:highlight w:val="none"/>
        </w:rPr>
        <w:fldChar w:fldCharType="begin"/>
      </w:r>
      <w:r>
        <w:rPr>
          <w:sz w:val="28"/>
          <w:szCs w:val="28"/>
          <w:highlight w:val="none"/>
        </w:rPr>
        <w:instrText xml:space="preserve"> PAGEREF _Toc17088 \h </w:instrText>
      </w:r>
      <w:r>
        <w:rPr>
          <w:sz w:val="28"/>
          <w:szCs w:val="28"/>
          <w:highlight w:val="none"/>
        </w:rPr>
        <w:fldChar w:fldCharType="separate"/>
      </w:r>
      <w:r>
        <w:rPr>
          <w:sz w:val="28"/>
          <w:szCs w:val="28"/>
          <w:highlight w:val="none"/>
        </w:rPr>
        <w:t>1</w:t>
      </w:r>
      <w:r>
        <w:rPr>
          <w:sz w:val="28"/>
          <w:szCs w:val="28"/>
          <w:highlight w:val="none"/>
        </w:rPr>
        <w:fldChar w:fldCharType="end"/>
      </w:r>
      <w:r>
        <w:rPr>
          <w:sz w:val="28"/>
          <w:szCs w:val="28"/>
          <w:highlight w:val="none"/>
        </w:rPr>
        <w:fldChar w:fldCharType="end"/>
      </w:r>
    </w:p>
    <w:p w14:paraId="13FD1337">
      <w:pPr>
        <w:pStyle w:val="18"/>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"_Toc21407" </w:instrText>
      </w:r>
      <w:r>
        <w:rPr>
          <w:sz w:val="28"/>
          <w:szCs w:val="28"/>
          <w:highlight w:val="none"/>
        </w:rPr>
        <w:fldChar w:fldCharType="separate"/>
      </w:r>
      <w:r>
        <w:rPr>
          <w:rFonts w:hint="eastAsia"/>
          <w:sz w:val="28"/>
          <w:szCs w:val="28"/>
          <w:highlight w:val="none"/>
        </w:rPr>
        <w:t>（二）绩效评价指标情况</w:t>
      </w:r>
      <w:r>
        <w:rPr>
          <w:sz w:val="28"/>
          <w:szCs w:val="28"/>
          <w:highlight w:val="none"/>
        </w:rPr>
        <w:tab/>
      </w:r>
      <w:r>
        <w:rPr>
          <w:sz w:val="28"/>
          <w:szCs w:val="28"/>
          <w:highlight w:val="none"/>
        </w:rPr>
        <w:fldChar w:fldCharType="begin"/>
      </w:r>
      <w:r>
        <w:rPr>
          <w:sz w:val="28"/>
          <w:szCs w:val="28"/>
          <w:highlight w:val="none"/>
        </w:rPr>
        <w:instrText xml:space="preserve"> PAGEREF _Toc21407 \h </w:instrText>
      </w:r>
      <w:r>
        <w:rPr>
          <w:sz w:val="28"/>
          <w:szCs w:val="28"/>
          <w:highlight w:val="none"/>
        </w:rPr>
        <w:fldChar w:fldCharType="separate"/>
      </w:r>
      <w:r>
        <w:rPr>
          <w:sz w:val="28"/>
          <w:szCs w:val="28"/>
          <w:highlight w:val="none"/>
        </w:rPr>
        <w:t>1</w:t>
      </w:r>
      <w:r>
        <w:rPr>
          <w:sz w:val="28"/>
          <w:szCs w:val="28"/>
          <w:highlight w:val="none"/>
        </w:rPr>
        <w:fldChar w:fldCharType="end"/>
      </w:r>
      <w:r>
        <w:rPr>
          <w:sz w:val="28"/>
          <w:szCs w:val="28"/>
          <w:highlight w:val="none"/>
        </w:rPr>
        <w:fldChar w:fldCharType="end"/>
      </w:r>
    </w:p>
    <w:p w14:paraId="6ED6E93D">
      <w:pPr>
        <w:pStyle w:val="18"/>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"_Toc21166" </w:instrText>
      </w:r>
      <w:r>
        <w:rPr>
          <w:sz w:val="28"/>
          <w:szCs w:val="28"/>
          <w:highlight w:val="none"/>
        </w:rPr>
        <w:fldChar w:fldCharType="separate"/>
      </w:r>
      <w:r>
        <w:rPr>
          <w:rFonts w:hint="eastAsia"/>
          <w:sz w:val="28"/>
          <w:szCs w:val="28"/>
          <w:highlight w:val="none"/>
        </w:rPr>
        <w:t>（三）主要成效、存在的突出问题和原因</w:t>
      </w:r>
      <w:r>
        <w:rPr>
          <w:sz w:val="28"/>
          <w:szCs w:val="28"/>
          <w:highlight w:val="none"/>
        </w:rPr>
        <w:tab/>
      </w:r>
      <w:r>
        <w:rPr>
          <w:sz w:val="28"/>
          <w:szCs w:val="28"/>
          <w:highlight w:val="none"/>
        </w:rPr>
        <w:fldChar w:fldCharType="begin"/>
      </w:r>
      <w:r>
        <w:rPr>
          <w:sz w:val="28"/>
          <w:szCs w:val="28"/>
          <w:highlight w:val="none"/>
        </w:rPr>
        <w:instrText xml:space="preserve"> PAGEREF _Toc21166 \h </w:instrText>
      </w:r>
      <w:r>
        <w:rPr>
          <w:sz w:val="28"/>
          <w:szCs w:val="28"/>
          <w:highlight w:val="none"/>
        </w:rPr>
        <w:fldChar w:fldCharType="separate"/>
      </w:r>
      <w:r>
        <w:rPr>
          <w:sz w:val="28"/>
          <w:szCs w:val="28"/>
          <w:highlight w:val="none"/>
        </w:rPr>
        <w:t>3</w:t>
      </w:r>
      <w:r>
        <w:rPr>
          <w:sz w:val="28"/>
          <w:szCs w:val="28"/>
          <w:highlight w:val="none"/>
        </w:rPr>
        <w:fldChar w:fldCharType="end"/>
      </w:r>
      <w:r>
        <w:rPr>
          <w:sz w:val="28"/>
          <w:szCs w:val="28"/>
          <w:highlight w:val="none"/>
        </w:rPr>
        <w:fldChar w:fldCharType="end"/>
      </w:r>
    </w:p>
    <w:p w14:paraId="45BEB535">
      <w:pPr>
        <w:pStyle w:val="18"/>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"_Toc8748" </w:instrText>
      </w:r>
      <w:r>
        <w:rPr>
          <w:sz w:val="28"/>
          <w:szCs w:val="28"/>
          <w:highlight w:val="none"/>
        </w:rPr>
        <w:fldChar w:fldCharType="separate"/>
      </w:r>
      <w:r>
        <w:rPr>
          <w:rFonts w:hint="eastAsia"/>
          <w:sz w:val="28"/>
          <w:szCs w:val="28"/>
          <w:highlight w:val="none"/>
        </w:rPr>
        <w:t>（四）下一步拟改进措施</w:t>
      </w:r>
      <w:r>
        <w:rPr>
          <w:sz w:val="28"/>
          <w:szCs w:val="28"/>
          <w:highlight w:val="none"/>
        </w:rPr>
        <w:tab/>
      </w:r>
      <w:r>
        <w:rPr>
          <w:sz w:val="28"/>
          <w:szCs w:val="28"/>
          <w:highlight w:val="none"/>
        </w:rPr>
        <w:fldChar w:fldCharType="begin"/>
      </w:r>
      <w:r>
        <w:rPr>
          <w:sz w:val="28"/>
          <w:szCs w:val="28"/>
          <w:highlight w:val="none"/>
        </w:rPr>
        <w:instrText xml:space="preserve"> PAGEREF _Toc8748 \h </w:instrText>
      </w:r>
      <w:r>
        <w:rPr>
          <w:sz w:val="28"/>
          <w:szCs w:val="28"/>
          <w:highlight w:val="none"/>
        </w:rPr>
        <w:fldChar w:fldCharType="separate"/>
      </w:r>
      <w:r>
        <w:rPr>
          <w:sz w:val="28"/>
          <w:szCs w:val="28"/>
          <w:highlight w:val="none"/>
        </w:rPr>
        <w:t>6</w:t>
      </w:r>
      <w:r>
        <w:rPr>
          <w:sz w:val="28"/>
          <w:szCs w:val="28"/>
          <w:highlight w:val="none"/>
        </w:rPr>
        <w:fldChar w:fldCharType="end"/>
      </w:r>
      <w:r>
        <w:rPr>
          <w:sz w:val="28"/>
          <w:szCs w:val="28"/>
          <w:highlight w:val="none"/>
        </w:rPr>
        <w:fldChar w:fldCharType="end"/>
      </w:r>
    </w:p>
    <w:p w14:paraId="403A8965">
      <w:pPr>
        <w:pStyle w:val="17"/>
        <w:tabs>
          <w:tab w:val="right" w:leader="dot" w:pos="9072"/>
        </w:tabs>
        <w:ind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"_Toc26789" </w:instrText>
      </w:r>
      <w:r>
        <w:rPr>
          <w:sz w:val="28"/>
          <w:szCs w:val="28"/>
          <w:highlight w:val="none"/>
        </w:rPr>
        <w:fldChar w:fldCharType="separate"/>
      </w:r>
      <w:r>
        <w:rPr>
          <w:rFonts w:hint="eastAsia"/>
          <w:sz w:val="28"/>
          <w:szCs w:val="28"/>
          <w:highlight w:val="none"/>
        </w:rPr>
        <w:t>二、佐证材料</w:t>
      </w:r>
      <w:r>
        <w:rPr>
          <w:sz w:val="28"/>
          <w:szCs w:val="28"/>
          <w:highlight w:val="none"/>
        </w:rPr>
        <w:tab/>
      </w:r>
      <w:r>
        <w:rPr>
          <w:sz w:val="28"/>
          <w:szCs w:val="28"/>
          <w:highlight w:val="none"/>
        </w:rPr>
        <w:fldChar w:fldCharType="begin"/>
      </w:r>
      <w:r>
        <w:rPr>
          <w:sz w:val="28"/>
          <w:szCs w:val="28"/>
          <w:highlight w:val="none"/>
        </w:rPr>
        <w:instrText xml:space="preserve"> PAGEREF _Toc26789 \h </w:instrText>
      </w:r>
      <w:r>
        <w:rPr>
          <w:sz w:val="28"/>
          <w:szCs w:val="28"/>
          <w:highlight w:val="none"/>
        </w:rPr>
        <w:fldChar w:fldCharType="separate"/>
      </w:r>
      <w:r>
        <w:rPr>
          <w:sz w:val="28"/>
          <w:szCs w:val="28"/>
          <w:highlight w:val="none"/>
        </w:rPr>
        <w:t>7</w:t>
      </w:r>
      <w:r>
        <w:rPr>
          <w:sz w:val="28"/>
          <w:szCs w:val="28"/>
          <w:highlight w:val="none"/>
        </w:rPr>
        <w:fldChar w:fldCharType="end"/>
      </w:r>
      <w:r>
        <w:rPr>
          <w:sz w:val="28"/>
          <w:szCs w:val="28"/>
          <w:highlight w:val="none"/>
        </w:rPr>
        <w:fldChar w:fldCharType="end"/>
      </w:r>
    </w:p>
    <w:p w14:paraId="20B5CB0C">
      <w:pPr>
        <w:pStyle w:val="18"/>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"_Toc26003" </w:instrText>
      </w:r>
      <w:r>
        <w:rPr>
          <w:sz w:val="28"/>
          <w:szCs w:val="28"/>
          <w:highlight w:val="none"/>
        </w:rPr>
        <w:fldChar w:fldCharType="separate"/>
      </w:r>
      <w:r>
        <w:rPr>
          <w:rFonts w:hint="eastAsia"/>
          <w:sz w:val="28"/>
          <w:szCs w:val="28"/>
          <w:highlight w:val="none"/>
        </w:rPr>
        <w:t>（一）基本情况</w:t>
      </w:r>
      <w:r>
        <w:rPr>
          <w:sz w:val="28"/>
          <w:szCs w:val="28"/>
          <w:highlight w:val="none"/>
        </w:rPr>
        <w:tab/>
      </w:r>
      <w:r>
        <w:rPr>
          <w:sz w:val="28"/>
          <w:szCs w:val="28"/>
          <w:highlight w:val="none"/>
        </w:rPr>
        <w:fldChar w:fldCharType="begin"/>
      </w:r>
      <w:r>
        <w:rPr>
          <w:sz w:val="28"/>
          <w:szCs w:val="28"/>
          <w:highlight w:val="none"/>
        </w:rPr>
        <w:instrText xml:space="preserve"> PAGEREF _Toc26003 \h </w:instrText>
      </w:r>
      <w:r>
        <w:rPr>
          <w:sz w:val="28"/>
          <w:szCs w:val="28"/>
          <w:highlight w:val="none"/>
        </w:rPr>
        <w:fldChar w:fldCharType="separate"/>
      </w:r>
      <w:r>
        <w:rPr>
          <w:sz w:val="28"/>
          <w:szCs w:val="28"/>
          <w:highlight w:val="none"/>
        </w:rPr>
        <w:t>7</w:t>
      </w:r>
      <w:r>
        <w:rPr>
          <w:sz w:val="28"/>
          <w:szCs w:val="28"/>
          <w:highlight w:val="none"/>
        </w:rPr>
        <w:fldChar w:fldCharType="end"/>
      </w:r>
      <w:r>
        <w:rPr>
          <w:sz w:val="28"/>
          <w:szCs w:val="28"/>
          <w:highlight w:val="none"/>
        </w:rPr>
        <w:fldChar w:fldCharType="end"/>
      </w:r>
    </w:p>
    <w:p w14:paraId="793B5FA7">
      <w:pPr>
        <w:pStyle w:val="18"/>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"_Toc28715" </w:instrText>
      </w:r>
      <w:r>
        <w:rPr>
          <w:sz w:val="28"/>
          <w:szCs w:val="28"/>
          <w:highlight w:val="none"/>
        </w:rPr>
        <w:fldChar w:fldCharType="separate"/>
      </w:r>
      <w:r>
        <w:rPr>
          <w:rFonts w:hint="eastAsia"/>
          <w:sz w:val="28"/>
          <w:szCs w:val="28"/>
          <w:highlight w:val="none"/>
        </w:rPr>
        <w:t>（二）绩效评价工作开展情况</w:t>
      </w:r>
      <w:r>
        <w:rPr>
          <w:sz w:val="28"/>
          <w:szCs w:val="28"/>
          <w:highlight w:val="none"/>
        </w:rPr>
        <w:tab/>
      </w:r>
      <w:r>
        <w:rPr>
          <w:sz w:val="28"/>
          <w:szCs w:val="28"/>
          <w:highlight w:val="none"/>
        </w:rPr>
        <w:fldChar w:fldCharType="begin"/>
      </w:r>
      <w:r>
        <w:rPr>
          <w:sz w:val="28"/>
          <w:szCs w:val="28"/>
          <w:highlight w:val="none"/>
        </w:rPr>
        <w:instrText xml:space="preserve"> PAGEREF _Toc28715 \h </w:instrText>
      </w:r>
      <w:r>
        <w:rPr>
          <w:sz w:val="28"/>
          <w:szCs w:val="28"/>
          <w:highlight w:val="none"/>
        </w:rPr>
        <w:fldChar w:fldCharType="separate"/>
      </w:r>
      <w:r>
        <w:rPr>
          <w:sz w:val="28"/>
          <w:szCs w:val="28"/>
          <w:highlight w:val="none"/>
        </w:rPr>
        <w:t>7</w:t>
      </w:r>
      <w:r>
        <w:rPr>
          <w:sz w:val="28"/>
          <w:szCs w:val="28"/>
          <w:highlight w:val="none"/>
        </w:rPr>
        <w:fldChar w:fldCharType="end"/>
      </w:r>
      <w:r>
        <w:rPr>
          <w:sz w:val="28"/>
          <w:szCs w:val="28"/>
          <w:highlight w:val="none"/>
        </w:rPr>
        <w:fldChar w:fldCharType="end"/>
      </w:r>
    </w:p>
    <w:p w14:paraId="75D170C4">
      <w:pPr>
        <w:pStyle w:val="18"/>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"_Toc13548" </w:instrText>
      </w:r>
      <w:r>
        <w:rPr>
          <w:sz w:val="28"/>
          <w:szCs w:val="28"/>
          <w:highlight w:val="none"/>
        </w:rPr>
        <w:fldChar w:fldCharType="separate"/>
      </w:r>
      <w:r>
        <w:rPr>
          <w:rFonts w:hint="eastAsia"/>
          <w:sz w:val="28"/>
          <w:szCs w:val="28"/>
          <w:highlight w:val="none"/>
        </w:rPr>
        <w:t>（三）绩效评价指标完成情况分析</w:t>
      </w:r>
      <w:r>
        <w:rPr>
          <w:sz w:val="28"/>
          <w:szCs w:val="28"/>
          <w:highlight w:val="none"/>
        </w:rPr>
        <w:tab/>
      </w:r>
      <w:r>
        <w:rPr>
          <w:sz w:val="28"/>
          <w:szCs w:val="28"/>
          <w:highlight w:val="none"/>
        </w:rPr>
        <w:fldChar w:fldCharType="begin"/>
      </w:r>
      <w:r>
        <w:rPr>
          <w:sz w:val="28"/>
          <w:szCs w:val="28"/>
          <w:highlight w:val="none"/>
        </w:rPr>
        <w:instrText xml:space="preserve"> PAGEREF _Toc13548 \h </w:instrText>
      </w:r>
      <w:r>
        <w:rPr>
          <w:sz w:val="28"/>
          <w:szCs w:val="28"/>
          <w:highlight w:val="none"/>
        </w:rPr>
        <w:fldChar w:fldCharType="separate"/>
      </w:r>
      <w:r>
        <w:rPr>
          <w:sz w:val="28"/>
          <w:szCs w:val="28"/>
          <w:highlight w:val="none"/>
        </w:rPr>
        <w:t>12</w:t>
      </w:r>
      <w:r>
        <w:rPr>
          <w:sz w:val="28"/>
          <w:szCs w:val="28"/>
          <w:highlight w:val="none"/>
        </w:rPr>
        <w:fldChar w:fldCharType="end"/>
      </w:r>
      <w:r>
        <w:rPr>
          <w:sz w:val="28"/>
          <w:szCs w:val="28"/>
          <w:highlight w:val="none"/>
        </w:rPr>
        <w:fldChar w:fldCharType="end"/>
      </w:r>
    </w:p>
    <w:p w14:paraId="7EE00D01">
      <w:pPr>
        <w:pStyle w:val="18"/>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"_Toc16125" </w:instrText>
      </w:r>
      <w:r>
        <w:rPr>
          <w:sz w:val="28"/>
          <w:szCs w:val="28"/>
          <w:highlight w:val="none"/>
        </w:rPr>
        <w:fldChar w:fldCharType="separate"/>
      </w:r>
      <w:r>
        <w:rPr>
          <w:rFonts w:hint="eastAsia"/>
          <w:sz w:val="28"/>
          <w:szCs w:val="28"/>
          <w:highlight w:val="none"/>
        </w:rPr>
        <w:t>（四）存在的其他问题和原因</w:t>
      </w:r>
      <w:r>
        <w:rPr>
          <w:sz w:val="28"/>
          <w:szCs w:val="28"/>
          <w:highlight w:val="none"/>
        </w:rPr>
        <w:tab/>
      </w:r>
      <w:r>
        <w:rPr>
          <w:sz w:val="28"/>
          <w:szCs w:val="28"/>
          <w:highlight w:val="none"/>
        </w:rPr>
        <w:fldChar w:fldCharType="begin"/>
      </w:r>
      <w:r>
        <w:rPr>
          <w:sz w:val="28"/>
          <w:szCs w:val="28"/>
          <w:highlight w:val="none"/>
        </w:rPr>
        <w:instrText xml:space="preserve"> PAGEREF _Toc16125 \h </w:instrText>
      </w:r>
      <w:r>
        <w:rPr>
          <w:sz w:val="28"/>
          <w:szCs w:val="28"/>
          <w:highlight w:val="none"/>
        </w:rPr>
        <w:fldChar w:fldCharType="separate"/>
      </w:r>
      <w:r>
        <w:rPr>
          <w:sz w:val="28"/>
          <w:szCs w:val="28"/>
          <w:highlight w:val="none"/>
        </w:rPr>
        <w:t>29</w:t>
      </w:r>
      <w:r>
        <w:rPr>
          <w:sz w:val="28"/>
          <w:szCs w:val="28"/>
          <w:highlight w:val="none"/>
        </w:rPr>
        <w:fldChar w:fldCharType="end"/>
      </w:r>
      <w:r>
        <w:rPr>
          <w:sz w:val="28"/>
          <w:szCs w:val="28"/>
          <w:highlight w:val="none"/>
        </w:rPr>
        <w:fldChar w:fldCharType="end"/>
      </w:r>
    </w:p>
    <w:p w14:paraId="745FDEAA">
      <w:pPr>
        <w:pStyle w:val="18"/>
        <w:tabs>
          <w:tab w:val="right" w:leader="dot" w:pos="9072"/>
        </w:tabs>
        <w:ind w:left="473"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"_Toc17913" </w:instrText>
      </w:r>
      <w:r>
        <w:rPr>
          <w:sz w:val="28"/>
          <w:szCs w:val="28"/>
          <w:highlight w:val="none"/>
        </w:rPr>
        <w:fldChar w:fldCharType="separate"/>
      </w:r>
      <w:r>
        <w:rPr>
          <w:rFonts w:hint="eastAsia"/>
          <w:sz w:val="28"/>
          <w:szCs w:val="28"/>
          <w:highlight w:val="none"/>
        </w:rPr>
        <w:t>（五）其他佐证材料</w:t>
      </w:r>
      <w:r>
        <w:rPr>
          <w:sz w:val="28"/>
          <w:szCs w:val="28"/>
          <w:highlight w:val="none"/>
        </w:rPr>
        <w:tab/>
      </w:r>
      <w:r>
        <w:rPr>
          <w:sz w:val="28"/>
          <w:szCs w:val="28"/>
          <w:highlight w:val="none"/>
        </w:rPr>
        <w:fldChar w:fldCharType="begin"/>
      </w:r>
      <w:r>
        <w:rPr>
          <w:sz w:val="28"/>
          <w:szCs w:val="28"/>
          <w:highlight w:val="none"/>
        </w:rPr>
        <w:instrText xml:space="preserve"> PAGEREF _Toc17913 \h </w:instrText>
      </w:r>
      <w:r>
        <w:rPr>
          <w:sz w:val="28"/>
          <w:szCs w:val="28"/>
          <w:highlight w:val="none"/>
        </w:rPr>
        <w:fldChar w:fldCharType="separate"/>
      </w:r>
      <w:r>
        <w:rPr>
          <w:sz w:val="28"/>
          <w:szCs w:val="28"/>
          <w:highlight w:val="none"/>
        </w:rPr>
        <w:t>30</w:t>
      </w:r>
      <w:r>
        <w:rPr>
          <w:sz w:val="28"/>
          <w:szCs w:val="28"/>
          <w:highlight w:val="none"/>
        </w:rPr>
        <w:fldChar w:fldCharType="end"/>
      </w:r>
      <w:r>
        <w:rPr>
          <w:sz w:val="28"/>
          <w:szCs w:val="28"/>
          <w:highlight w:val="none"/>
        </w:rPr>
        <w:fldChar w:fldCharType="end"/>
      </w:r>
    </w:p>
    <w:p w14:paraId="1CEE10FA">
      <w:pPr>
        <w:pStyle w:val="17"/>
        <w:tabs>
          <w:tab w:val="right" w:leader="dot" w:pos="9072"/>
        </w:tabs>
        <w:ind w:firstLine="552" w:firstLineChars="200"/>
        <w:rPr>
          <w:sz w:val="28"/>
          <w:szCs w:val="28"/>
          <w:highlight w:val="none"/>
        </w:rPr>
      </w:pPr>
      <w:r>
        <w:rPr>
          <w:sz w:val="28"/>
          <w:szCs w:val="28"/>
          <w:highlight w:val="none"/>
        </w:rPr>
        <w:fldChar w:fldCharType="begin"/>
      </w:r>
      <w:r>
        <w:rPr>
          <w:sz w:val="28"/>
          <w:szCs w:val="28"/>
          <w:highlight w:val="none"/>
        </w:rPr>
        <w:instrText xml:space="preserve"> HYPERLINK \l "_Toc30441" </w:instrText>
      </w:r>
      <w:r>
        <w:rPr>
          <w:sz w:val="28"/>
          <w:szCs w:val="28"/>
          <w:highlight w:val="none"/>
        </w:rPr>
        <w:fldChar w:fldCharType="separate"/>
      </w:r>
      <w:r>
        <w:rPr>
          <w:rFonts w:hint="eastAsia"/>
          <w:sz w:val="28"/>
          <w:szCs w:val="28"/>
          <w:highlight w:val="none"/>
        </w:rPr>
        <w:t>附件</w:t>
      </w:r>
      <w:r>
        <w:rPr>
          <w:sz w:val="28"/>
          <w:szCs w:val="28"/>
          <w:highlight w:val="none"/>
        </w:rPr>
        <w:tab/>
      </w:r>
      <w:r>
        <w:rPr>
          <w:sz w:val="28"/>
          <w:szCs w:val="28"/>
          <w:highlight w:val="none"/>
        </w:rPr>
        <w:fldChar w:fldCharType="begin"/>
      </w:r>
      <w:r>
        <w:rPr>
          <w:sz w:val="28"/>
          <w:szCs w:val="28"/>
          <w:highlight w:val="none"/>
        </w:rPr>
        <w:instrText xml:space="preserve"> PAGEREF _Toc30441 \h </w:instrText>
      </w:r>
      <w:r>
        <w:rPr>
          <w:sz w:val="28"/>
          <w:szCs w:val="28"/>
          <w:highlight w:val="none"/>
        </w:rPr>
        <w:fldChar w:fldCharType="separate"/>
      </w:r>
      <w:r>
        <w:rPr>
          <w:sz w:val="28"/>
          <w:szCs w:val="28"/>
          <w:highlight w:val="none"/>
        </w:rPr>
        <w:t>31</w:t>
      </w:r>
      <w:r>
        <w:rPr>
          <w:sz w:val="28"/>
          <w:szCs w:val="28"/>
          <w:highlight w:val="none"/>
        </w:rPr>
        <w:fldChar w:fldCharType="end"/>
      </w:r>
      <w:r>
        <w:rPr>
          <w:sz w:val="28"/>
          <w:szCs w:val="28"/>
          <w:highlight w:val="none"/>
        </w:rPr>
        <w:fldChar w:fldCharType="end"/>
      </w:r>
    </w:p>
    <w:p w14:paraId="740E0BFA">
      <w:pPr>
        <w:rPr>
          <w:rFonts w:hint="eastAsia"/>
          <w:highlight w:val="none"/>
        </w:rPr>
      </w:pPr>
      <w:r>
        <w:rPr>
          <w:rFonts w:hint="eastAsia"/>
          <w:sz w:val="28"/>
          <w:szCs w:val="28"/>
          <w:highlight w:val="none"/>
        </w:rPr>
        <w:fldChar w:fldCharType="end"/>
      </w:r>
    </w:p>
    <w:p w14:paraId="59EE68C2">
      <w:pPr>
        <w:rPr>
          <w:rFonts w:hint="eastAsia"/>
          <w:highlight w:val="none"/>
        </w:rPr>
      </w:pPr>
    </w:p>
    <w:p w14:paraId="2A35CCE5">
      <w:pPr>
        <w:rPr>
          <w:rFonts w:hint="eastAsia"/>
          <w:highlight w:val="none"/>
        </w:rPr>
        <w:sectPr>
          <w:headerReference r:id="rId5" w:type="default"/>
          <w:footerReference r:id="rId6" w:type="default"/>
          <w:pgSz w:w="11906" w:h="16838"/>
          <w:pgMar w:top="1417" w:right="1247" w:bottom="1417" w:left="1587" w:header="1134" w:footer="1134" w:gutter="0"/>
          <w:pgNumType w:fmt="decimal" w:start="1"/>
          <w:cols w:space="0" w:num="1"/>
          <w:docGrid w:type="linesAndChars" w:linePitch="580" w:charSpace="-1024"/>
        </w:sectPr>
      </w:pPr>
    </w:p>
    <w:p w14:paraId="48C01A79">
      <w:pPr>
        <w:overflowPunct w:val="0"/>
        <w:autoSpaceDE w:val="0"/>
        <w:autoSpaceDN w:val="0"/>
        <w:spacing w:line="560" w:lineRule="exact"/>
        <w:jc w:val="center"/>
        <w:rPr>
          <w:rFonts w:hint="eastAsia" w:ascii="Times New Roman" w:hAnsi="Times New Roman" w:eastAsia="方正小标宋_GBK" w:cs="方正小标宋_GBK"/>
          <w:color w:val="000000"/>
          <w:kern w:val="0"/>
          <w:sz w:val="36"/>
          <w:szCs w:val="36"/>
          <w:highlight w:val="none"/>
          <w:lang w:val="en-US" w:eastAsia="zh-CN"/>
        </w:rPr>
      </w:pPr>
      <w:r>
        <w:rPr>
          <w:rFonts w:hint="eastAsia" w:ascii="Times New Roman" w:hAnsi="Times New Roman" w:eastAsia="方正小标宋_GBK" w:cs="方正小标宋_GBK"/>
          <w:color w:val="000000"/>
          <w:kern w:val="0"/>
          <w:sz w:val="36"/>
          <w:szCs w:val="36"/>
          <w:highlight w:val="none"/>
        </w:rPr>
        <w:t>2024年黄石市下陆区水利和湖泊局部门整体</w:t>
      </w:r>
      <w:r>
        <w:rPr>
          <w:rFonts w:hint="eastAsia" w:ascii="Times New Roman" w:hAnsi="Times New Roman" w:eastAsia="方正小标宋_GBK" w:cs="方正小标宋_GBK"/>
          <w:color w:val="000000"/>
          <w:kern w:val="0"/>
          <w:sz w:val="36"/>
          <w:szCs w:val="36"/>
          <w:highlight w:val="none"/>
          <w:lang w:val="en-US" w:eastAsia="zh-CN"/>
        </w:rPr>
        <w:t>支出</w:t>
      </w:r>
    </w:p>
    <w:p w14:paraId="42A2CBC4">
      <w:pPr>
        <w:overflowPunct w:val="0"/>
        <w:autoSpaceDE w:val="0"/>
        <w:autoSpaceDN w:val="0"/>
        <w:spacing w:line="560" w:lineRule="exact"/>
        <w:jc w:val="center"/>
        <w:rPr>
          <w:rFonts w:ascii="Times New Roman" w:hAnsi="Times New Roman" w:eastAsia="楷体" w:cs="楷体"/>
          <w:color w:val="000000"/>
          <w:kern w:val="0"/>
          <w:szCs w:val="32"/>
          <w:highlight w:val="none"/>
        </w:rPr>
      </w:pPr>
      <w:r>
        <w:rPr>
          <w:rFonts w:hint="eastAsia" w:ascii="Times New Roman" w:hAnsi="Times New Roman" w:eastAsia="方正小标宋_GBK" w:cs="方正小标宋_GBK"/>
          <w:color w:val="000000"/>
          <w:kern w:val="0"/>
          <w:sz w:val="36"/>
          <w:szCs w:val="36"/>
          <w:highlight w:val="none"/>
        </w:rPr>
        <w:t>绩效评价</w:t>
      </w:r>
      <w:r>
        <w:rPr>
          <w:rFonts w:hint="eastAsia" w:ascii="Times New Roman" w:hAnsi="Times New Roman" w:eastAsia="方正小标宋_GBK" w:cs="方正小标宋_GBK"/>
          <w:color w:val="000000"/>
          <w:kern w:val="0"/>
          <w:sz w:val="36"/>
          <w:szCs w:val="36"/>
          <w:highlight w:val="none"/>
          <w:lang w:val="en-US" w:eastAsia="zh-CN"/>
        </w:rPr>
        <w:t>报告</w:t>
      </w:r>
    </w:p>
    <w:p w14:paraId="32D98333">
      <w:pPr>
        <w:overflowPunct w:val="0"/>
        <w:autoSpaceDE w:val="0"/>
        <w:autoSpaceDN w:val="0"/>
        <w:spacing w:line="560" w:lineRule="exact"/>
        <w:jc w:val="both"/>
        <w:rPr>
          <w:rFonts w:ascii="Times New Roman" w:hAnsi="Times New Roman" w:cs="Times New Roman"/>
          <w:bCs/>
          <w:kern w:val="0"/>
          <w:szCs w:val="32"/>
          <w:highlight w:val="none"/>
        </w:rPr>
      </w:pPr>
    </w:p>
    <w:p w14:paraId="37363D12">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eastAsia="zh-CN"/>
        </w:rPr>
      </w:pPr>
      <w:r>
        <w:rPr>
          <w:rFonts w:hint="eastAsia" w:ascii="仿宋" w:hAnsi="仿宋" w:cs="Times New Roman"/>
          <w:bCs/>
          <w:kern w:val="0"/>
          <w:szCs w:val="32"/>
          <w:highlight w:val="none"/>
          <w:lang w:eastAsia="zh-CN"/>
        </w:rPr>
        <w:t>湖北永九星房地产资产评估有限公司接受黄石市下陆区财政局（</w:t>
      </w:r>
      <w:r>
        <w:rPr>
          <w:rFonts w:hint="eastAsia" w:ascii="仿宋" w:hAnsi="仿宋" w:cs="Times New Roman"/>
          <w:bCs/>
          <w:kern w:val="0"/>
          <w:szCs w:val="32"/>
          <w:highlight w:val="none"/>
          <w:lang w:val="en-US" w:eastAsia="zh-CN"/>
        </w:rPr>
        <w:t>以下简称“区财政局”</w:t>
      </w:r>
      <w:r>
        <w:rPr>
          <w:rFonts w:hint="eastAsia" w:ascii="仿宋" w:hAnsi="仿宋" w:cs="Times New Roman"/>
          <w:bCs/>
          <w:kern w:val="0"/>
          <w:szCs w:val="32"/>
          <w:highlight w:val="none"/>
          <w:lang w:eastAsia="zh-CN"/>
        </w:rPr>
        <w:t>）的委托，根据国家有关法律、法规和部门规章，运用科学、合理的绩效评价方法，对“2024年黄石市下陆区水利和湖泊局（</w:t>
      </w:r>
      <w:r>
        <w:rPr>
          <w:rFonts w:hint="eastAsia" w:ascii="仿宋" w:hAnsi="仿宋" w:cs="Times New Roman"/>
          <w:bCs/>
          <w:kern w:val="0"/>
          <w:szCs w:val="32"/>
          <w:highlight w:val="none"/>
          <w:lang w:val="en-US" w:eastAsia="zh-CN"/>
        </w:rPr>
        <w:t>以下简称“区水湖局”</w:t>
      </w:r>
      <w:r>
        <w:rPr>
          <w:rFonts w:hint="eastAsia" w:ascii="仿宋" w:hAnsi="仿宋" w:cs="Times New Roman"/>
          <w:bCs/>
          <w:kern w:val="0"/>
          <w:szCs w:val="32"/>
          <w:highlight w:val="none"/>
          <w:lang w:eastAsia="zh-CN"/>
        </w:rPr>
        <w:t>）</w:t>
      </w:r>
      <w:r>
        <w:rPr>
          <w:rFonts w:hint="eastAsia" w:ascii="仿宋" w:hAnsi="仿宋" w:cs="Times New Roman"/>
          <w:bCs/>
          <w:kern w:val="0"/>
          <w:szCs w:val="32"/>
          <w:highlight w:val="none"/>
          <w:lang w:val="en-US" w:eastAsia="zh-CN"/>
        </w:rPr>
        <w:t>部门</w:t>
      </w:r>
      <w:r>
        <w:rPr>
          <w:rFonts w:hint="eastAsia" w:ascii="仿宋" w:hAnsi="仿宋" w:cs="Times New Roman"/>
          <w:bCs/>
          <w:kern w:val="0"/>
          <w:szCs w:val="32"/>
          <w:highlight w:val="none"/>
          <w:lang w:eastAsia="zh-CN"/>
        </w:rPr>
        <w:t>整体支出”的绩效进行了客观、公正的评价。现将评价情况报告如下：</w:t>
      </w:r>
    </w:p>
    <w:p w14:paraId="36D19DDA">
      <w:pPr>
        <w:pStyle w:val="3"/>
        <w:keepNext/>
        <w:keepLines/>
        <w:pageBreakBefore w:val="0"/>
        <w:widowControl w:val="0"/>
        <w:tabs>
          <w:tab w:val="center" w:pos="4780"/>
        </w:tabs>
        <w:kinsoku/>
        <w:wordWrap/>
        <w:overflowPunct/>
        <w:topLinePunct w:val="0"/>
        <w:autoSpaceDE/>
        <w:autoSpaceDN/>
        <w:bidi w:val="0"/>
        <w:adjustRightInd/>
        <w:snapToGrid/>
        <w:spacing w:before="0" w:after="0" w:line="560" w:lineRule="exact"/>
        <w:ind w:firstLine="632" w:firstLineChars="200"/>
        <w:textAlignment w:val="auto"/>
        <w:outlineLvl w:val="0"/>
        <w:rPr>
          <w:rFonts w:hint="eastAsia" w:ascii="黑体" w:hAnsi="黑体" w:eastAsia="黑体" w:cs="Times New Roman"/>
          <w:b w:val="0"/>
          <w:bCs w:val="0"/>
          <w:kern w:val="0"/>
          <w:sz w:val="32"/>
          <w:szCs w:val="32"/>
          <w:highlight w:val="none"/>
        </w:rPr>
      </w:pPr>
      <w:bookmarkStart w:id="0" w:name="_Toc11765"/>
      <w:r>
        <w:rPr>
          <w:rFonts w:hint="eastAsia" w:ascii="黑体" w:hAnsi="黑体" w:eastAsia="黑体" w:cs="Times New Roman"/>
          <w:b w:val="0"/>
          <w:bCs w:val="0"/>
          <w:kern w:val="0"/>
          <w:sz w:val="32"/>
          <w:szCs w:val="32"/>
          <w:highlight w:val="none"/>
        </w:rPr>
        <w:t>一、评价结论</w:t>
      </w:r>
      <w:bookmarkEnd w:id="0"/>
    </w:p>
    <w:p w14:paraId="22A18485">
      <w:pPr>
        <w:pStyle w:val="4"/>
        <w:keepNext w:val="0"/>
        <w:keepLines w:val="0"/>
        <w:overflowPunct w:val="0"/>
        <w:autoSpaceDE w:val="0"/>
        <w:autoSpaceDN w:val="0"/>
        <w:ind w:firstLine="473"/>
        <w:outlineLvl w:val="1"/>
        <w:rPr>
          <w:rFonts w:ascii="Times New Roman" w:hAnsi="Times New Roman"/>
          <w:highlight w:val="none"/>
        </w:rPr>
      </w:pPr>
      <w:bookmarkStart w:id="1" w:name="_Toc17088"/>
      <w:r>
        <w:rPr>
          <w:rFonts w:hint="eastAsia" w:ascii="Times New Roman" w:hAnsi="Times New Roman"/>
          <w:highlight w:val="none"/>
        </w:rPr>
        <w:t>（一）绩效评价分数和等级</w:t>
      </w:r>
      <w:bookmarkEnd w:id="1"/>
    </w:p>
    <w:p w14:paraId="2965B15E">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eastAsia="zh-CN"/>
        </w:rPr>
      </w:pPr>
      <w:r>
        <w:rPr>
          <w:rFonts w:hint="eastAsia" w:ascii="仿宋" w:hAnsi="仿宋" w:cs="Times New Roman"/>
          <w:bCs/>
          <w:kern w:val="0"/>
          <w:szCs w:val="32"/>
          <w:highlight w:val="none"/>
          <w:lang w:eastAsia="zh-CN"/>
        </w:rPr>
        <w:t>评价机构按照评价前制定的绩效评价指标及评分标准，从运行成本、管理效率、履职效能、社会效益、可持续发展能力和服务对象满意度等维度进行了绩效评价，综合评价结果为</w:t>
      </w:r>
      <w:r>
        <w:rPr>
          <w:rFonts w:hint="eastAsia" w:ascii="仿宋" w:hAnsi="仿宋" w:cs="Times New Roman"/>
          <w:bCs/>
          <w:kern w:val="0"/>
          <w:szCs w:val="32"/>
          <w:highlight w:val="none"/>
          <w:lang w:val="en-US" w:eastAsia="zh-CN"/>
        </w:rPr>
        <w:t>86.6</w:t>
      </w:r>
      <w:r>
        <w:rPr>
          <w:rFonts w:hint="eastAsia" w:ascii="仿宋" w:hAnsi="仿宋" w:cs="Times New Roman"/>
          <w:bCs/>
          <w:kern w:val="0"/>
          <w:szCs w:val="32"/>
          <w:highlight w:val="none"/>
          <w:lang w:eastAsia="zh-CN"/>
        </w:rPr>
        <w:t>分，评价结果级别为</w:t>
      </w:r>
      <w:r>
        <w:rPr>
          <w:rFonts w:hint="eastAsia" w:ascii="仿宋" w:hAnsi="仿宋" w:cs="Times New Roman"/>
          <w:bCs/>
          <w:kern w:val="0"/>
          <w:szCs w:val="32"/>
          <w:highlight w:val="none"/>
          <w:lang w:val="en-US" w:eastAsia="zh-CN"/>
        </w:rPr>
        <w:t>良（80（含）-90分），评分详情见下表</w:t>
      </w:r>
      <w:r>
        <w:rPr>
          <w:rFonts w:hint="eastAsia" w:ascii="仿宋" w:hAnsi="仿宋" w:cs="Times New Roman"/>
          <w:bCs/>
          <w:kern w:val="0"/>
          <w:szCs w:val="32"/>
          <w:highlight w:val="none"/>
          <w:lang w:eastAsia="zh-CN"/>
        </w:rPr>
        <w:t>：</w:t>
      </w:r>
    </w:p>
    <w:tbl>
      <w:tblPr>
        <w:tblStyle w:val="22"/>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410"/>
        <w:gridCol w:w="1571"/>
        <w:gridCol w:w="1569"/>
        <w:gridCol w:w="1676"/>
        <w:gridCol w:w="1831"/>
      </w:tblGrid>
      <w:tr w14:paraId="44BED2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330" w:type="pct"/>
            <w:shd w:val="clear" w:color="auto" w:fill="auto"/>
            <w:vAlign w:val="center"/>
          </w:tcPr>
          <w:p w14:paraId="3D522ED4">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lang w:bidi="ar"/>
              </w:rPr>
              <w:t>评价指标</w:t>
            </w:r>
          </w:p>
        </w:tc>
        <w:tc>
          <w:tcPr>
            <w:tcW w:w="867" w:type="pct"/>
            <w:shd w:val="clear" w:color="auto" w:fill="auto"/>
            <w:vAlign w:val="center"/>
          </w:tcPr>
          <w:p w14:paraId="14DB4007">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lang w:bidi="ar"/>
              </w:rPr>
              <w:t>权重</w:t>
            </w:r>
          </w:p>
        </w:tc>
        <w:tc>
          <w:tcPr>
            <w:tcW w:w="866" w:type="pct"/>
            <w:shd w:val="clear" w:color="auto" w:fill="auto"/>
            <w:vAlign w:val="center"/>
          </w:tcPr>
          <w:p w14:paraId="3A340B2F">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lang w:bidi="ar"/>
              </w:rPr>
              <w:t>扣分</w:t>
            </w:r>
          </w:p>
        </w:tc>
        <w:tc>
          <w:tcPr>
            <w:tcW w:w="925" w:type="pct"/>
            <w:shd w:val="clear" w:color="auto" w:fill="auto"/>
            <w:vAlign w:val="center"/>
          </w:tcPr>
          <w:p w14:paraId="799DDE37">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lang w:bidi="ar"/>
              </w:rPr>
              <w:t>评价得分</w:t>
            </w:r>
          </w:p>
        </w:tc>
        <w:tc>
          <w:tcPr>
            <w:tcW w:w="1010" w:type="pct"/>
            <w:shd w:val="clear" w:color="auto" w:fill="auto"/>
            <w:vAlign w:val="center"/>
          </w:tcPr>
          <w:p w14:paraId="3862E382">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lang w:bidi="ar"/>
              </w:rPr>
              <w:t>评价结果级别</w:t>
            </w:r>
          </w:p>
        </w:tc>
      </w:tr>
      <w:tr w14:paraId="6F93D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330" w:type="pct"/>
            <w:shd w:val="clear" w:color="auto" w:fill="auto"/>
            <w:vAlign w:val="center"/>
          </w:tcPr>
          <w:p w14:paraId="678D6F80">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rPr>
              <w:t>运行成本</w:t>
            </w:r>
          </w:p>
        </w:tc>
        <w:tc>
          <w:tcPr>
            <w:tcW w:w="1571" w:type="dxa"/>
            <w:shd w:val="clear" w:color="auto" w:fill="auto"/>
            <w:vAlign w:val="center"/>
          </w:tcPr>
          <w:p w14:paraId="37FB6A7A">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8</w:t>
            </w:r>
          </w:p>
        </w:tc>
        <w:tc>
          <w:tcPr>
            <w:tcW w:w="1569" w:type="dxa"/>
            <w:shd w:val="clear" w:color="auto" w:fill="auto"/>
            <w:vAlign w:val="center"/>
          </w:tcPr>
          <w:p w14:paraId="43309027">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4</w:t>
            </w:r>
          </w:p>
        </w:tc>
        <w:tc>
          <w:tcPr>
            <w:tcW w:w="1676" w:type="dxa"/>
            <w:shd w:val="clear" w:color="auto" w:fill="auto"/>
            <w:vAlign w:val="center"/>
          </w:tcPr>
          <w:p w14:paraId="39170D19">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4</w:t>
            </w:r>
          </w:p>
        </w:tc>
        <w:tc>
          <w:tcPr>
            <w:tcW w:w="1010" w:type="pct"/>
            <w:vMerge w:val="restart"/>
            <w:shd w:val="clear" w:color="auto" w:fill="auto"/>
            <w:vAlign w:val="center"/>
          </w:tcPr>
          <w:p w14:paraId="445E4542">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lang w:val="en-US" w:eastAsia="zh-CN"/>
              </w:rPr>
            </w:pPr>
            <w:r>
              <w:rPr>
                <w:rFonts w:hint="eastAsia" w:ascii="楷体" w:hAnsi="楷体" w:eastAsia="楷体" w:cs="楷体"/>
                <w:b/>
                <w:bCs/>
                <w:color w:val="000000"/>
                <w:kern w:val="0"/>
                <w:sz w:val="24"/>
                <w:szCs w:val="24"/>
                <w:highlight w:val="none"/>
                <w:lang w:val="en-US" w:eastAsia="zh-CN"/>
              </w:rPr>
              <w:t>良</w:t>
            </w:r>
          </w:p>
        </w:tc>
      </w:tr>
      <w:tr w14:paraId="459B91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330" w:type="pct"/>
            <w:shd w:val="clear" w:color="auto" w:fill="auto"/>
            <w:vAlign w:val="center"/>
          </w:tcPr>
          <w:p w14:paraId="14F633A7">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rPr>
              <w:t>管理效率</w:t>
            </w:r>
          </w:p>
        </w:tc>
        <w:tc>
          <w:tcPr>
            <w:tcW w:w="1571" w:type="dxa"/>
            <w:shd w:val="clear" w:color="auto" w:fill="auto"/>
            <w:vAlign w:val="center"/>
          </w:tcPr>
          <w:p w14:paraId="442842F1">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22</w:t>
            </w:r>
          </w:p>
        </w:tc>
        <w:tc>
          <w:tcPr>
            <w:tcW w:w="1569" w:type="dxa"/>
            <w:shd w:val="clear" w:color="auto" w:fill="auto"/>
            <w:vAlign w:val="center"/>
          </w:tcPr>
          <w:p w14:paraId="579CF702">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5.1</w:t>
            </w:r>
          </w:p>
        </w:tc>
        <w:tc>
          <w:tcPr>
            <w:tcW w:w="1676" w:type="dxa"/>
            <w:shd w:val="clear" w:color="auto" w:fill="auto"/>
            <w:vAlign w:val="center"/>
          </w:tcPr>
          <w:p w14:paraId="3BBCF14D">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16.9</w:t>
            </w:r>
          </w:p>
        </w:tc>
        <w:tc>
          <w:tcPr>
            <w:tcW w:w="1010" w:type="pct"/>
            <w:vMerge w:val="continue"/>
            <w:vAlign w:val="center"/>
          </w:tcPr>
          <w:p w14:paraId="5A81EE30">
            <w:pPr>
              <w:overflowPunct w:val="0"/>
              <w:autoSpaceDE w:val="0"/>
              <w:autoSpaceDN w:val="0"/>
              <w:snapToGrid w:val="0"/>
              <w:jc w:val="center"/>
              <w:rPr>
                <w:rFonts w:hint="eastAsia" w:ascii="楷体" w:hAnsi="楷体" w:eastAsia="楷体" w:cs="楷体"/>
                <w:b/>
                <w:bCs/>
                <w:color w:val="000000"/>
                <w:kern w:val="0"/>
                <w:sz w:val="24"/>
                <w:szCs w:val="24"/>
                <w:highlight w:val="none"/>
              </w:rPr>
            </w:pPr>
          </w:p>
        </w:tc>
      </w:tr>
      <w:tr w14:paraId="5810CA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330" w:type="pct"/>
            <w:shd w:val="clear" w:color="auto" w:fill="auto"/>
            <w:vAlign w:val="center"/>
          </w:tcPr>
          <w:p w14:paraId="7C33B603">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rPr>
              <w:t>履职效能</w:t>
            </w:r>
          </w:p>
        </w:tc>
        <w:tc>
          <w:tcPr>
            <w:tcW w:w="1571" w:type="dxa"/>
            <w:shd w:val="clear" w:color="auto" w:fill="auto"/>
            <w:vAlign w:val="center"/>
          </w:tcPr>
          <w:p w14:paraId="66DA7890">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24</w:t>
            </w:r>
          </w:p>
        </w:tc>
        <w:tc>
          <w:tcPr>
            <w:tcW w:w="1569" w:type="dxa"/>
            <w:shd w:val="clear" w:color="auto" w:fill="auto"/>
            <w:vAlign w:val="center"/>
          </w:tcPr>
          <w:p w14:paraId="665026AB">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0</w:t>
            </w:r>
          </w:p>
        </w:tc>
        <w:tc>
          <w:tcPr>
            <w:tcW w:w="1676" w:type="dxa"/>
            <w:shd w:val="clear" w:color="auto" w:fill="auto"/>
            <w:vAlign w:val="center"/>
          </w:tcPr>
          <w:p w14:paraId="2BE85FB7">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24</w:t>
            </w:r>
          </w:p>
        </w:tc>
        <w:tc>
          <w:tcPr>
            <w:tcW w:w="1010" w:type="pct"/>
            <w:vMerge w:val="continue"/>
            <w:vAlign w:val="center"/>
          </w:tcPr>
          <w:p w14:paraId="0CACB10C">
            <w:pPr>
              <w:overflowPunct w:val="0"/>
              <w:autoSpaceDE w:val="0"/>
              <w:autoSpaceDN w:val="0"/>
              <w:snapToGrid w:val="0"/>
              <w:jc w:val="center"/>
              <w:rPr>
                <w:rFonts w:hint="eastAsia" w:ascii="楷体" w:hAnsi="楷体" w:eastAsia="楷体" w:cs="楷体"/>
                <w:b/>
                <w:bCs/>
                <w:color w:val="000000"/>
                <w:kern w:val="0"/>
                <w:sz w:val="24"/>
                <w:szCs w:val="24"/>
                <w:highlight w:val="none"/>
              </w:rPr>
            </w:pPr>
          </w:p>
        </w:tc>
      </w:tr>
      <w:tr w14:paraId="016624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330" w:type="pct"/>
            <w:shd w:val="clear" w:color="auto" w:fill="auto"/>
            <w:vAlign w:val="center"/>
          </w:tcPr>
          <w:p w14:paraId="173023AF">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rPr>
              <w:t>社会效益</w:t>
            </w:r>
          </w:p>
        </w:tc>
        <w:tc>
          <w:tcPr>
            <w:tcW w:w="1571" w:type="dxa"/>
            <w:shd w:val="clear" w:color="auto" w:fill="auto"/>
            <w:vAlign w:val="center"/>
          </w:tcPr>
          <w:p w14:paraId="2CD5B882">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33</w:t>
            </w:r>
          </w:p>
        </w:tc>
        <w:tc>
          <w:tcPr>
            <w:tcW w:w="1569" w:type="dxa"/>
            <w:shd w:val="clear" w:color="auto" w:fill="auto"/>
            <w:vAlign w:val="center"/>
          </w:tcPr>
          <w:p w14:paraId="1E141517">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3.8</w:t>
            </w:r>
          </w:p>
        </w:tc>
        <w:tc>
          <w:tcPr>
            <w:tcW w:w="1676" w:type="dxa"/>
            <w:shd w:val="clear" w:color="auto" w:fill="auto"/>
            <w:vAlign w:val="center"/>
          </w:tcPr>
          <w:p w14:paraId="0379E03C">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29.2</w:t>
            </w:r>
          </w:p>
        </w:tc>
        <w:tc>
          <w:tcPr>
            <w:tcW w:w="1010" w:type="pct"/>
            <w:vMerge w:val="continue"/>
            <w:vAlign w:val="center"/>
          </w:tcPr>
          <w:p w14:paraId="759C1F35">
            <w:pPr>
              <w:overflowPunct w:val="0"/>
              <w:autoSpaceDE w:val="0"/>
              <w:autoSpaceDN w:val="0"/>
              <w:snapToGrid w:val="0"/>
              <w:jc w:val="center"/>
              <w:rPr>
                <w:rFonts w:hint="eastAsia" w:ascii="楷体" w:hAnsi="楷体" w:eastAsia="楷体" w:cs="楷体"/>
                <w:b/>
                <w:bCs/>
                <w:color w:val="000000"/>
                <w:kern w:val="0"/>
                <w:sz w:val="24"/>
                <w:szCs w:val="24"/>
                <w:highlight w:val="none"/>
              </w:rPr>
            </w:pPr>
          </w:p>
        </w:tc>
      </w:tr>
      <w:tr w14:paraId="609E98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330" w:type="pct"/>
            <w:shd w:val="clear" w:color="auto" w:fill="auto"/>
            <w:vAlign w:val="center"/>
          </w:tcPr>
          <w:p w14:paraId="4681BA7F">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rPr>
              <w:t>可持续发展能力</w:t>
            </w:r>
          </w:p>
        </w:tc>
        <w:tc>
          <w:tcPr>
            <w:tcW w:w="1571" w:type="dxa"/>
            <w:shd w:val="clear" w:color="auto" w:fill="auto"/>
            <w:vAlign w:val="center"/>
          </w:tcPr>
          <w:p w14:paraId="79DC87AE">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7</w:t>
            </w:r>
          </w:p>
        </w:tc>
        <w:tc>
          <w:tcPr>
            <w:tcW w:w="1569" w:type="dxa"/>
            <w:shd w:val="clear" w:color="auto" w:fill="auto"/>
            <w:vAlign w:val="center"/>
          </w:tcPr>
          <w:p w14:paraId="1C4E18F2">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0.5</w:t>
            </w:r>
          </w:p>
        </w:tc>
        <w:tc>
          <w:tcPr>
            <w:tcW w:w="1676" w:type="dxa"/>
            <w:shd w:val="clear" w:color="auto" w:fill="auto"/>
            <w:vAlign w:val="center"/>
          </w:tcPr>
          <w:p w14:paraId="7B1FC3C4">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6.5</w:t>
            </w:r>
          </w:p>
        </w:tc>
        <w:tc>
          <w:tcPr>
            <w:tcW w:w="1010" w:type="pct"/>
            <w:vMerge w:val="continue"/>
            <w:vAlign w:val="center"/>
          </w:tcPr>
          <w:p w14:paraId="0CA63DD4">
            <w:pPr>
              <w:overflowPunct w:val="0"/>
              <w:autoSpaceDE w:val="0"/>
              <w:autoSpaceDN w:val="0"/>
              <w:snapToGrid w:val="0"/>
              <w:jc w:val="center"/>
              <w:rPr>
                <w:rFonts w:hint="eastAsia" w:ascii="楷体" w:hAnsi="楷体" w:eastAsia="楷体" w:cs="楷体"/>
                <w:b/>
                <w:bCs/>
                <w:color w:val="000000"/>
                <w:kern w:val="0"/>
                <w:sz w:val="24"/>
                <w:szCs w:val="24"/>
                <w:highlight w:val="none"/>
              </w:rPr>
            </w:pPr>
          </w:p>
        </w:tc>
      </w:tr>
      <w:tr w14:paraId="07961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330" w:type="pct"/>
            <w:shd w:val="clear" w:color="auto" w:fill="auto"/>
            <w:vAlign w:val="center"/>
          </w:tcPr>
          <w:p w14:paraId="3F58BF73">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rPr>
              <w:t>服务对象满意度</w:t>
            </w:r>
          </w:p>
        </w:tc>
        <w:tc>
          <w:tcPr>
            <w:tcW w:w="1571" w:type="dxa"/>
            <w:shd w:val="clear" w:color="auto" w:fill="auto"/>
            <w:vAlign w:val="center"/>
          </w:tcPr>
          <w:p w14:paraId="4AB5637C">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6</w:t>
            </w:r>
          </w:p>
        </w:tc>
        <w:tc>
          <w:tcPr>
            <w:tcW w:w="1569" w:type="dxa"/>
            <w:shd w:val="clear" w:color="auto" w:fill="auto"/>
            <w:vAlign w:val="center"/>
          </w:tcPr>
          <w:p w14:paraId="2BB67B8B">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0</w:t>
            </w:r>
          </w:p>
        </w:tc>
        <w:tc>
          <w:tcPr>
            <w:tcW w:w="1676" w:type="dxa"/>
            <w:shd w:val="clear" w:color="auto" w:fill="auto"/>
            <w:vAlign w:val="center"/>
          </w:tcPr>
          <w:p w14:paraId="12AE41C4">
            <w:pPr>
              <w:overflowPunct w:val="0"/>
              <w:autoSpaceDE w:val="0"/>
              <w:autoSpaceDN w:val="0"/>
              <w:snapToGrid w:val="0"/>
              <w:jc w:val="center"/>
              <w:textAlignment w:val="center"/>
              <w:rPr>
                <w:rFonts w:hint="eastAsia" w:ascii="楷体" w:hAnsi="楷体" w:eastAsia="楷体" w:cs="楷体"/>
                <w:b w:val="0"/>
                <w:bCs w:val="0"/>
                <w:color w:val="000000"/>
                <w:kern w:val="0"/>
                <w:sz w:val="24"/>
                <w:szCs w:val="24"/>
                <w:highlight w:val="none"/>
              </w:rPr>
            </w:pPr>
            <w:r>
              <w:rPr>
                <w:rFonts w:hint="eastAsia" w:ascii="楷体" w:hAnsi="楷体" w:eastAsia="楷体" w:cs="楷体"/>
                <w:b w:val="0"/>
                <w:bCs w:val="0"/>
                <w:color w:val="000000"/>
                <w:kern w:val="0"/>
                <w:sz w:val="24"/>
                <w:szCs w:val="24"/>
                <w:highlight w:val="none"/>
                <w:lang w:val="en-US" w:eastAsia="zh-CN"/>
              </w:rPr>
              <w:t>6</w:t>
            </w:r>
          </w:p>
        </w:tc>
        <w:tc>
          <w:tcPr>
            <w:tcW w:w="1010" w:type="pct"/>
            <w:vMerge w:val="continue"/>
            <w:vAlign w:val="center"/>
          </w:tcPr>
          <w:p w14:paraId="421DAD82">
            <w:pPr>
              <w:overflowPunct w:val="0"/>
              <w:autoSpaceDE w:val="0"/>
              <w:autoSpaceDN w:val="0"/>
              <w:snapToGrid w:val="0"/>
              <w:jc w:val="center"/>
              <w:rPr>
                <w:rFonts w:hint="eastAsia" w:ascii="楷体" w:hAnsi="楷体" w:eastAsia="楷体" w:cs="楷体"/>
                <w:b/>
                <w:bCs/>
                <w:color w:val="000000"/>
                <w:kern w:val="0"/>
                <w:sz w:val="24"/>
                <w:szCs w:val="24"/>
                <w:highlight w:val="none"/>
              </w:rPr>
            </w:pPr>
          </w:p>
        </w:tc>
      </w:tr>
      <w:tr w14:paraId="23CFB1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330" w:type="pct"/>
            <w:shd w:val="clear" w:color="auto" w:fill="auto"/>
            <w:vAlign w:val="center"/>
          </w:tcPr>
          <w:p w14:paraId="24AEF3AA">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rPr>
              <w:t>综合绩效</w:t>
            </w:r>
          </w:p>
        </w:tc>
        <w:tc>
          <w:tcPr>
            <w:tcW w:w="1571" w:type="dxa"/>
            <w:shd w:val="clear" w:color="auto" w:fill="auto"/>
            <w:vAlign w:val="center"/>
          </w:tcPr>
          <w:p w14:paraId="66C6841E">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lang w:val="en-US" w:eastAsia="zh-CN"/>
              </w:rPr>
              <w:t>100</w:t>
            </w:r>
          </w:p>
        </w:tc>
        <w:tc>
          <w:tcPr>
            <w:tcW w:w="1569" w:type="dxa"/>
            <w:shd w:val="clear" w:color="auto" w:fill="auto"/>
            <w:vAlign w:val="center"/>
          </w:tcPr>
          <w:p w14:paraId="68C7580D">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lang w:val="en-US" w:eastAsia="zh-CN"/>
              </w:rPr>
              <w:t>13.4</w:t>
            </w:r>
          </w:p>
        </w:tc>
        <w:tc>
          <w:tcPr>
            <w:tcW w:w="1676" w:type="dxa"/>
            <w:shd w:val="clear" w:color="auto" w:fill="auto"/>
            <w:vAlign w:val="center"/>
          </w:tcPr>
          <w:p w14:paraId="4289CCCE">
            <w:pPr>
              <w:overflowPunct w:val="0"/>
              <w:autoSpaceDE w:val="0"/>
              <w:autoSpaceDN w:val="0"/>
              <w:snapToGrid w:val="0"/>
              <w:jc w:val="center"/>
              <w:textAlignment w:val="center"/>
              <w:rPr>
                <w:rFonts w:hint="eastAsia" w:ascii="楷体" w:hAnsi="楷体" w:eastAsia="楷体" w:cs="楷体"/>
                <w:b/>
                <w:bCs/>
                <w:color w:val="000000"/>
                <w:kern w:val="0"/>
                <w:sz w:val="24"/>
                <w:szCs w:val="24"/>
                <w:highlight w:val="none"/>
              </w:rPr>
            </w:pPr>
            <w:r>
              <w:rPr>
                <w:rFonts w:hint="eastAsia" w:ascii="楷体" w:hAnsi="楷体" w:eastAsia="楷体" w:cs="楷体"/>
                <w:b/>
                <w:bCs/>
                <w:color w:val="000000"/>
                <w:kern w:val="0"/>
                <w:sz w:val="24"/>
                <w:szCs w:val="24"/>
                <w:highlight w:val="none"/>
                <w:lang w:val="en-US" w:eastAsia="zh-CN"/>
              </w:rPr>
              <w:t>86.6</w:t>
            </w:r>
          </w:p>
        </w:tc>
        <w:tc>
          <w:tcPr>
            <w:tcW w:w="1010" w:type="pct"/>
            <w:vMerge w:val="continue"/>
            <w:vAlign w:val="center"/>
          </w:tcPr>
          <w:p w14:paraId="3B82CBC2">
            <w:pPr>
              <w:overflowPunct w:val="0"/>
              <w:autoSpaceDE w:val="0"/>
              <w:autoSpaceDN w:val="0"/>
              <w:snapToGrid w:val="0"/>
              <w:jc w:val="center"/>
              <w:rPr>
                <w:rFonts w:hint="eastAsia" w:ascii="楷体" w:hAnsi="楷体" w:eastAsia="楷体" w:cs="楷体"/>
                <w:b/>
                <w:bCs/>
                <w:color w:val="000000"/>
                <w:kern w:val="0"/>
                <w:sz w:val="24"/>
                <w:szCs w:val="24"/>
                <w:highlight w:val="none"/>
              </w:rPr>
            </w:pPr>
          </w:p>
        </w:tc>
      </w:tr>
    </w:tbl>
    <w:p w14:paraId="71E908B7">
      <w:pPr>
        <w:pStyle w:val="4"/>
        <w:keepNext w:val="0"/>
        <w:keepLines w:val="0"/>
        <w:overflowPunct w:val="0"/>
        <w:autoSpaceDE w:val="0"/>
        <w:autoSpaceDN w:val="0"/>
        <w:ind w:firstLine="473"/>
        <w:outlineLvl w:val="1"/>
        <w:rPr>
          <w:rFonts w:hint="eastAsia" w:ascii="Times New Roman" w:hAnsi="Times New Roman"/>
          <w:highlight w:val="none"/>
        </w:rPr>
      </w:pPr>
      <w:bookmarkStart w:id="2" w:name="_Toc21407"/>
      <w:r>
        <w:rPr>
          <w:rFonts w:hint="eastAsia" w:ascii="Times New Roman" w:hAnsi="Times New Roman"/>
          <w:highlight w:val="none"/>
        </w:rPr>
        <w:t>（二）绩效评价指标情况</w:t>
      </w:r>
      <w:bookmarkEnd w:id="2"/>
    </w:p>
    <w:p w14:paraId="69116E19">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1.运行成本</w:t>
      </w:r>
    </w:p>
    <w:p w14:paraId="62E9B330">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运行成本指标总分8分，实际得分4分，整体控制成效待提升。</w:t>
      </w:r>
    </w:p>
    <w:p w14:paraId="59E874A6">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公用经费实际支出超预算0.12%，在职人员数量超核定编制66.67%，两项核心指标均不得分；但会议费支出为0，“三公”经费同比减少67.72%，成本控制在部分领域显现成效。总体看，人员规模与公用经费管控存在短板，需优化编制管理与预算执行刚性。</w:t>
      </w:r>
    </w:p>
    <w:p w14:paraId="45CFF0F3">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2.管理效率</w:t>
      </w:r>
    </w:p>
    <w:p w14:paraId="2A4F6565">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管理效率指标总分22分，实际得分16.9分，整体呈“优缺并存”。</w:t>
      </w:r>
    </w:p>
    <w:p w14:paraId="32B01B7B">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战略规划与国家政策高度契合，预算编制科学规范，资产管理、财务管理全流程合规，预算执行率达100%；但工作计划深度不足，预算调整率高达227%，绩效监控未开展，部门整体绩效目标缺失，暴露预算刚性与绩效管理机制的薄弱环节。</w:t>
      </w:r>
    </w:p>
    <w:p w14:paraId="291B1D38">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3.履职效能</w:t>
      </w:r>
    </w:p>
    <w:p w14:paraId="22128AEA">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履职效能指标总分24分，实际得分24分，全年履职成效显著。</w:t>
      </w:r>
    </w:p>
    <w:p w14:paraId="045962C7">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林业领域完成50个森林图斑核查、清理病枯死树1.4万株，造林315亩超额完成任务；水利领域区级河湖长履职率100%，排查整改16处防汛隐患；农业领域完成28个土壤采样点验收，防控外来物种成效扎实；乡村振兴帮扶罗田县互访落地，四大板块工作全面达标。</w:t>
      </w:r>
    </w:p>
    <w:p w14:paraId="742F30A0">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4.社会效益</w:t>
      </w:r>
    </w:p>
    <w:p w14:paraId="2B0DDB91">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社会效益指标总分33分，实际得分29.2分，综合效益良好。</w:t>
      </w:r>
    </w:p>
    <w:p w14:paraId="52270106">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经济效益上，水利工程带动产业发展，土壤普查助农增产5%～8%；社会效益实现森林火灾零发生、农村饮水安全100%达标、公众生态知晓率98%；但生态效益中森林覆盖率较目标下降0.13%，磁湖水质维持Ⅳ类未提升，成为主要扣分点，需强化生态修复力度。</w:t>
      </w:r>
    </w:p>
    <w:p w14:paraId="3D5F1FF1">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5.可持续发展能力</w:t>
      </w:r>
    </w:p>
    <w:p w14:paraId="70A2FC4F">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可持续发展能力指标总分7分，实际得分6.5分，支撑体系基本健全。</w:t>
      </w:r>
    </w:p>
    <w:p w14:paraId="4A642889">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官方+民间”河湖共治模式深化，行政管理规范化提升；业务培训全覆盖，信息化监测体系建成，科技赋能水利林业管理；但高学历、高层次人才储备不足，高级职称与高学历人才占比低，人才支撑短板需通过引才育才机制弥补。</w:t>
      </w:r>
    </w:p>
    <w:p w14:paraId="7F73EC9A">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6.满意度</w:t>
      </w:r>
    </w:p>
    <w:p w14:paraId="58224599">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服务对象满意度指标总分6分，实际得分6分，公众认可度高。通过随机问卷调查30名群众，93.33%受访者对该局履职成效表示满意。这得益于河湖治理、防汛保障、生态宣传等民生工作的扎实推进，“清四乱”志愿活动、湿地保护宣传等举措增强了公众获得感，服务成效获得社会广泛认可。</w:t>
      </w:r>
    </w:p>
    <w:p w14:paraId="28C905F1">
      <w:pPr>
        <w:pStyle w:val="4"/>
        <w:keepNext w:val="0"/>
        <w:keepLines w:val="0"/>
        <w:overflowPunct w:val="0"/>
        <w:autoSpaceDE w:val="0"/>
        <w:autoSpaceDN w:val="0"/>
        <w:ind w:firstLine="473"/>
        <w:outlineLvl w:val="1"/>
        <w:rPr>
          <w:rFonts w:hint="eastAsia" w:ascii="Times New Roman" w:hAnsi="Times New Roman"/>
          <w:highlight w:val="none"/>
        </w:rPr>
      </w:pPr>
      <w:bookmarkStart w:id="3" w:name="_Toc21166"/>
      <w:r>
        <w:rPr>
          <w:rFonts w:hint="eastAsia" w:ascii="Times New Roman" w:hAnsi="Times New Roman"/>
          <w:highlight w:val="none"/>
        </w:rPr>
        <w:t>（三）主要成效、存在的突出问题和原因</w:t>
      </w:r>
      <w:bookmarkEnd w:id="3"/>
    </w:p>
    <w:p w14:paraId="42F5B7C2">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1.主要成效</w:t>
      </w:r>
    </w:p>
    <w:p w14:paraId="526F87FE">
      <w:pPr>
        <w:pStyle w:val="9"/>
        <w:overflowPunct w:val="0"/>
        <w:autoSpaceDE w:val="0"/>
        <w:autoSpaceDN w:val="0"/>
        <w:spacing w:line="560" w:lineRule="exact"/>
        <w:ind w:firstLine="474" w:firstLineChars="15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（1）水利工作成果显著</w:t>
      </w:r>
    </w:p>
    <w:p w14:paraId="763BDE14">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区水湖局全力推动河湖长责任落实，通过明确和动态调整区街两级河湖长及区级督导部门，区级督导部门巡查123次，街道级河湖长巡查176次，成功解决148个河湖问题，有力保障全区湖库港的健康与生态安全。同时，积极推进水利项目建设，园门水库除险加固项目有效保障下游5万居民生命财产安全；再生水利用项目新建提水泵站与输水管道，将尾水用于城市多方面用水，实现水资源节约。此外，在防汛工作中，排查隐患并下达16件督办函，维修水库启闭机，整改排洪隐患并转移受困群众，成立五个分指挥部确保协同作战，为汛期安全筑牢坚实防线。​</w:t>
      </w:r>
    </w:p>
    <w:p w14:paraId="1E98588F">
      <w:pPr>
        <w:pStyle w:val="9"/>
        <w:overflowPunct w:val="0"/>
        <w:autoSpaceDE w:val="0"/>
        <w:autoSpaceDN w:val="0"/>
        <w:spacing w:line="560" w:lineRule="exact"/>
        <w:ind w:firstLine="474" w:firstLineChars="15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w:t>
      </w:r>
      <w:r>
        <w:rPr>
          <w:rFonts w:hint="eastAsia" w:cs="仿宋"/>
          <w:highlight w:val="none"/>
          <w:lang w:val="en-US" w:eastAsia="zh-CN"/>
        </w:rPr>
        <w:t>2</w:t>
      </w:r>
      <w:r>
        <w:rPr>
          <w:rFonts w:hint="eastAsia" w:ascii="仿宋" w:hAnsi="仿宋" w:eastAsia="仿宋" w:cs="仿宋"/>
          <w:highlight w:val="none"/>
          <w:lang w:val="en-US" w:eastAsia="zh-CN"/>
        </w:rPr>
        <w:t>）林业工作扎实推进</w:t>
      </w:r>
    </w:p>
    <w:p w14:paraId="49FC6FE0">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在压实林长工作责任方面，制定相关方案明确任务目标分工，区级、街道级林长积极履职，全年开展巡林112次，解决56个问题。在林地指标保障上，完成5个项目林地初审，为5个项目积极争取指标，推动全区项目建设顺利开展。在森林资源保护与病虫害防治工作中，对省林业局下发的50个森林督查问题图斑完成核查，查处2个违法图斑及4起日常巡查发现的毁林事件；组织专业队伍清除大量疫木和枯死树木，对松树进行打孔注药预防，对山场开展药物和生物防治，有效遏制病虫害蔓延。还超额完成“千村万树”计划的绿化面积，并完成一级古树抢救复壮项目。​</w:t>
      </w:r>
    </w:p>
    <w:p w14:paraId="2CE5693E">
      <w:pPr>
        <w:pStyle w:val="9"/>
        <w:overflowPunct w:val="0"/>
        <w:autoSpaceDE w:val="0"/>
        <w:autoSpaceDN w:val="0"/>
        <w:spacing w:line="560" w:lineRule="exact"/>
        <w:ind w:firstLine="474" w:firstLineChars="15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w:t>
      </w:r>
      <w:r>
        <w:rPr>
          <w:rFonts w:hint="eastAsia" w:cs="仿宋"/>
          <w:highlight w:val="none"/>
          <w:lang w:val="en-US" w:eastAsia="zh-CN"/>
        </w:rPr>
        <w:t>3</w:t>
      </w:r>
      <w:r>
        <w:rPr>
          <w:rFonts w:hint="eastAsia" w:ascii="仿宋" w:hAnsi="仿宋" w:eastAsia="仿宋" w:cs="仿宋"/>
          <w:highlight w:val="none"/>
          <w:lang w:val="en-US" w:eastAsia="zh-CN"/>
        </w:rPr>
        <w:t>）农业和乡村振兴工作有序开展</w:t>
      </w:r>
    </w:p>
    <w:p w14:paraId="1BD7403F">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在防控外来入侵物种方面，积极开展宣传活动，在多个湾组及公园周边发放宣传册3000余册，采取捕捞、喷药、清除等措施，防控效果显著。在农资店和农产品安全质量监管上，配合抽样蔬菜、水产品，合格率达100%；出动执法人员检查门店，确保农资产品合格率100%。顺利完成第三次全国土壤普查数据上报工作，28个采样点全部采样完毕并通过省级验收合格，数据已上传国家平台。开展农村集体“三资”专项整治，成立领导小组，督查发现问题并全部收缴租金。在区域协作帮扶罗田县乡村振兴工作中，投入资金用于项目建设，采购农副产品，接收和选派人才交流，组织研学活动，巩固结对成果。</w:t>
      </w:r>
    </w:p>
    <w:p w14:paraId="718B994F">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2.存在的突出问题和原因</w:t>
      </w:r>
    </w:p>
    <w:p w14:paraId="13855F18">
      <w:pPr>
        <w:pStyle w:val="9"/>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（1）预算编制的准确及合理性有待提高</w:t>
      </w:r>
    </w:p>
    <w:p w14:paraId="7E9DC4B3">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公用经费超支（控制率100.12%）、在职人员超编（控制率166.67%）、预算调整率高（227%）。原因是预算编制前期调研不够充分，对实际需求预判精准性有待提升；人员编制动态调整机制不够完善，未能及时根据职能变化优化配置。</w:t>
      </w:r>
    </w:p>
    <w:p w14:paraId="059014F2">
      <w:pPr>
        <w:pStyle w:val="9"/>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（2）绩效管理工作需进一步落实</w:t>
      </w:r>
    </w:p>
    <w:p w14:paraId="69A13AEE">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未制定部门整体绩效目标，绩效监控未开展，部门整体自评缺失。原因是绩效管理理念在日常工作中渗透深度不足，全过程管理链条未完全打通；绩效目标设定与业务规划衔接不够紧密，重项目执行过程、轻结果评价的倾向仍有存在，长效评价机制需进一步完善。</w:t>
      </w:r>
    </w:p>
    <w:p w14:paraId="695EA0A3">
      <w:pPr>
        <w:pStyle w:val="9"/>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（3）资产</w:t>
      </w:r>
      <w:r>
        <w:rPr>
          <w:rFonts w:hint="eastAsia" w:ascii="Times New Roman" w:hAnsi="Times New Roman"/>
          <w:highlight w:val="none"/>
          <w:lang w:val="en-US" w:eastAsia="zh-CN"/>
        </w:rPr>
        <w:t>、</w:t>
      </w:r>
      <w:r>
        <w:rPr>
          <w:rFonts w:hint="eastAsia" w:ascii="Times New Roman" w:hAnsi="Times New Roman"/>
          <w:highlight w:val="none"/>
          <w:lang w:val="en-US"/>
        </w:rPr>
        <w:t>资金管理有待加强</w:t>
      </w:r>
    </w:p>
    <w:p w14:paraId="6E4587CC">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结转结余率6%略高。原因是部分项目实施过程中受外部因素影响，进度推进节奏与资金拨付计划匹配度不足；项目结算验收环节流程衔接不够顺畅，导致资金未能及时核销结转。</w:t>
      </w:r>
    </w:p>
    <w:p w14:paraId="7C777D3D">
      <w:pPr>
        <w:pStyle w:val="9"/>
        <w:overflowPunct w:val="0"/>
        <w:autoSpaceDE w:val="0"/>
        <w:autoSpaceDN w:val="0"/>
        <w:spacing w:line="560" w:lineRule="exact"/>
        <w:ind w:firstLine="474" w:firstLineChars="150"/>
        <w:jc w:val="both"/>
        <w:rPr>
          <w:rFonts w:hint="default" w:ascii="Times New Roman" w:hAnsi="Times New Roman" w:eastAsia="仿宋"/>
          <w:highlight w:val="none"/>
          <w:lang w:val="en-US" w:eastAsia="zh-CN"/>
        </w:rPr>
      </w:pPr>
      <w:r>
        <w:rPr>
          <w:rFonts w:hint="eastAsia" w:ascii="Times New Roman" w:hAnsi="Times New Roman"/>
          <w:highlight w:val="none"/>
          <w:lang w:val="en-US"/>
        </w:rPr>
        <w:t>（4）</w:t>
      </w:r>
      <w:r>
        <w:rPr>
          <w:rFonts w:hint="eastAsia" w:ascii="Times New Roman" w:hAnsi="Times New Roman"/>
          <w:highlight w:val="none"/>
          <w:lang w:val="en-US" w:eastAsia="zh-CN"/>
        </w:rPr>
        <w:t>业务管理有待加强</w:t>
      </w:r>
    </w:p>
    <w:p w14:paraId="0F0C8F2A">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工作计划深度不足，人才储备率低。原因是业务规划编制时对长远发展趋势研判不够充分，部分细分领域内容不够细化；人才引育用体系建设相对滞后，与新时代水利林业业务数字化、专业化升级需求的适配性有待增强。</w:t>
      </w:r>
    </w:p>
    <w:p w14:paraId="0CF19554">
      <w:pPr>
        <w:pStyle w:val="4"/>
        <w:keepNext w:val="0"/>
        <w:keepLines w:val="0"/>
        <w:overflowPunct w:val="0"/>
        <w:autoSpaceDE w:val="0"/>
        <w:autoSpaceDN w:val="0"/>
        <w:ind w:firstLine="473"/>
        <w:outlineLvl w:val="1"/>
        <w:rPr>
          <w:rFonts w:hint="eastAsia" w:ascii="Times New Roman" w:hAnsi="Times New Roman"/>
          <w:highlight w:val="none"/>
        </w:rPr>
      </w:pPr>
      <w:bookmarkStart w:id="4" w:name="_Toc8748"/>
      <w:r>
        <w:rPr>
          <w:rFonts w:hint="eastAsia" w:ascii="Times New Roman" w:hAnsi="Times New Roman"/>
          <w:highlight w:val="none"/>
        </w:rPr>
        <w:t>（四）下一步拟改进措施</w:t>
      </w:r>
      <w:bookmarkEnd w:id="4"/>
    </w:p>
    <w:p w14:paraId="2AFA636D">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bookmarkStart w:id="5" w:name="_Toc13284"/>
      <w:r>
        <w:rPr>
          <w:rFonts w:hint="eastAsia" w:ascii="楷体" w:hAnsi="楷体" w:eastAsia="楷体" w:cs="楷体"/>
          <w:b w:val="0"/>
          <w:bCs w:val="0"/>
          <w:kern w:val="0"/>
          <w:sz w:val="32"/>
          <w:szCs w:val="32"/>
          <w:highlight w:val="none"/>
          <w:lang w:val="en-US" w:eastAsia="zh-CN" w:bidi="ar-SA"/>
        </w:rPr>
        <w:t>1.提高预算编审的准确性</w:t>
      </w:r>
      <w:bookmarkEnd w:id="5"/>
    </w:p>
    <w:p w14:paraId="62C51101">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细化预算编制，严格按编制控制人员规模；建立预算调整审核机制，严控调整幅度，强化公用经费动态监控。</w:t>
      </w:r>
    </w:p>
    <w:p w14:paraId="3D2A4D59">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bookmarkStart w:id="6" w:name="_Toc3815"/>
      <w:r>
        <w:rPr>
          <w:rFonts w:hint="eastAsia" w:ascii="楷体" w:hAnsi="楷体" w:eastAsia="楷体" w:cs="楷体"/>
          <w:b w:val="0"/>
          <w:bCs w:val="0"/>
          <w:kern w:val="0"/>
          <w:sz w:val="32"/>
          <w:szCs w:val="32"/>
          <w:highlight w:val="none"/>
          <w:lang w:val="en-US" w:eastAsia="zh-CN" w:bidi="ar-SA"/>
        </w:rPr>
        <w:t>2.进一步落实绩效管理各阶段工作</w:t>
      </w:r>
    </w:p>
    <w:p w14:paraId="1AE61E16">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制定部门整体绩效目标，落实事中绩效监控；开展部门整体自评，建立评价结果与预算安排挂钩机制。</w:t>
      </w:r>
    </w:p>
    <w:p w14:paraId="091CE1CD">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3.加强资产、资金管理</w:t>
      </w:r>
      <w:bookmarkEnd w:id="6"/>
    </w:p>
    <w:p w14:paraId="340F249B">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加快项目实施进度，加强资金拨付与项目进度匹配度，定期清理结转结余资金。</w:t>
      </w:r>
    </w:p>
    <w:p w14:paraId="43FC0B73">
      <w:pPr>
        <w:pStyle w:val="5"/>
        <w:spacing w:before="0" w:after="0" w:line="560" w:lineRule="exact"/>
        <w:ind w:firstLine="632" w:firstLineChars="200"/>
        <w:outlineLvl w:val="2"/>
        <w:rPr>
          <w:rFonts w:hint="default"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4.加强业务管理水平建设</w:t>
      </w:r>
    </w:p>
    <w:p w14:paraId="37501D02">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完善工作计划，强化党建与业务融合等内容；健全人才引育用机制，加大高层次人才储备，提升业务规划前瞻性。</w:t>
      </w:r>
    </w:p>
    <w:p w14:paraId="52762965">
      <w:pPr>
        <w:pStyle w:val="3"/>
        <w:keepNext/>
        <w:keepLines/>
        <w:pageBreakBefore w:val="0"/>
        <w:widowControl w:val="0"/>
        <w:tabs>
          <w:tab w:val="center" w:pos="4780"/>
        </w:tabs>
        <w:kinsoku/>
        <w:wordWrap/>
        <w:overflowPunct/>
        <w:topLinePunct w:val="0"/>
        <w:autoSpaceDE/>
        <w:autoSpaceDN/>
        <w:bidi w:val="0"/>
        <w:adjustRightInd/>
        <w:snapToGrid/>
        <w:spacing w:before="0" w:after="0" w:line="560" w:lineRule="exact"/>
        <w:ind w:firstLine="632" w:firstLineChars="200"/>
        <w:textAlignment w:val="auto"/>
        <w:outlineLvl w:val="0"/>
        <w:rPr>
          <w:rFonts w:hint="eastAsia" w:ascii="黑体" w:hAnsi="黑体" w:eastAsia="黑体" w:cs="Times New Roman"/>
          <w:b w:val="0"/>
          <w:bCs w:val="0"/>
          <w:kern w:val="0"/>
          <w:sz w:val="32"/>
          <w:szCs w:val="32"/>
          <w:highlight w:val="none"/>
        </w:rPr>
      </w:pPr>
      <w:bookmarkStart w:id="7" w:name="_Toc26789"/>
      <w:r>
        <w:rPr>
          <w:rFonts w:hint="eastAsia" w:ascii="黑体" w:hAnsi="黑体" w:eastAsia="黑体" w:cs="Times New Roman"/>
          <w:b w:val="0"/>
          <w:bCs w:val="0"/>
          <w:kern w:val="0"/>
          <w:sz w:val="32"/>
          <w:szCs w:val="32"/>
          <w:highlight w:val="none"/>
        </w:rPr>
        <w:t>二、佐证材料</w:t>
      </w:r>
      <w:bookmarkEnd w:id="7"/>
    </w:p>
    <w:p w14:paraId="1A1EEF05">
      <w:pPr>
        <w:pStyle w:val="4"/>
        <w:keepNext w:val="0"/>
        <w:keepLines w:val="0"/>
        <w:overflowPunct w:val="0"/>
        <w:autoSpaceDE w:val="0"/>
        <w:autoSpaceDN w:val="0"/>
        <w:ind w:firstLine="473"/>
        <w:outlineLvl w:val="1"/>
        <w:rPr>
          <w:rFonts w:hint="eastAsia" w:ascii="Times New Roman" w:hAnsi="Times New Roman"/>
          <w:highlight w:val="none"/>
        </w:rPr>
      </w:pPr>
      <w:bookmarkStart w:id="8" w:name="_Toc10592"/>
      <w:bookmarkStart w:id="9" w:name="_Toc17399"/>
      <w:bookmarkStart w:id="10" w:name="_Toc26003"/>
      <w:r>
        <w:rPr>
          <w:rFonts w:hint="eastAsia" w:ascii="Times New Roman" w:hAnsi="Times New Roman"/>
          <w:highlight w:val="none"/>
        </w:rPr>
        <w:t>（一）基本情况</w:t>
      </w:r>
      <w:bookmarkEnd w:id="8"/>
      <w:bookmarkEnd w:id="9"/>
      <w:bookmarkEnd w:id="10"/>
      <w:bookmarkStart w:id="11" w:name="_Toc10957"/>
    </w:p>
    <w:p w14:paraId="2FC458CD">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bookmarkStart w:id="12" w:name="_Toc28219"/>
      <w:r>
        <w:rPr>
          <w:rFonts w:hint="eastAsia" w:ascii="楷体" w:hAnsi="楷体" w:eastAsia="楷体" w:cs="楷体"/>
          <w:b w:val="0"/>
          <w:bCs w:val="0"/>
          <w:kern w:val="0"/>
          <w:sz w:val="32"/>
          <w:szCs w:val="32"/>
          <w:highlight w:val="none"/>
          <w:lang w:val="en-US" w:eastAsia="zh-CN" w:bidi="ar-SA"/>
        </w:rPr>
        <w:t>1.部门支出情况及重点工作</w:t>
      </w:r>
      <w:bookmarkEnd w:id="11"/>
      <w:bookmarkEnd w:id="12"/>
    </w:p>
    <w:p w14:paraId="1A8F7CFA">
      <w:pPr>
        <w:pStyle w:val="9"/>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（1）部门支出情况</w:t>
      </w:r>
    </w:p>
    <w:p w14:paraId="0DBA47C2">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经查阅核实，部门预算收支情况如下表（单位元）：</w:t>
      </w:r>
    </w:p>
    <w:tbl>
      <w:tblPr>
        <w:tblStyle w:val="22"/>
        <w:tblW w:w="4998" w:type="pct"/>
        <w:tblInd w:w="0" w:type="dxa"/>
        <w:tblLayout w:type="autofit"/>
        <w:tblCellMar>
          <w:top w:w="0" w:type="dxa"/>
          <w:left w:w="108" w:type="dxa"/>
          <w:bottom w:w="0" w:type="dxa"/>
          <w:right w:w="108" w:type="dxa"/>
        </w:tblCellMar>
      </w:tblPr>
      <w:tblGrid>
        <w:gridCol w:w="2797"/>
        <w:gridCol w:w="2182"/>
        <w:gridCol w:w="2097"/>
        <w:gridCol w:w="1981"/>
      </w:tblGrid>
      <w:tr w14:paraId="6B5DCE6F">
        <w:tblPrEx>
          <w:tblCellMar>
            <w:top w:w="0" w:type="dxa"/>
            <w:left w:w="108" w:type="dxa"/>
            <w:bottom w:w="0" w:type="dxa"/>
            <w:right w:w="108" w:type="dxa"/>
          </w:tblCellMar>
        </w:tblPrEx>
        <w:trPr>
          <w:trHeight w:val="454" w:hRule="atLeast"/>
          <w:tblHeader/>
        </w:trPr>
        <w:tc>
          <w:tcPr>
            <w:tcW w:w="1543" w:type="pct"/>
            <w:tcBorders>
              <w:top w:val="single" w:color="000000" w:sz="12" w:space="0"/>
              <w:left w:val="single" w:color="000000" w:sz="12" w:space="0"/>
              <w:bottom w:val="single" w:color="000000" w:sz="4" w:space="0"/>
              <w:right w:val="single" w:color="000000" w:sz="4" w:space="0"/>
              <w:tl2br w:val="nil"/>
            </w:tcBorders>
            <w:shd w:val="clear" w:color="auto" w:fill="FFFFFF"/>
            <w:noWrap/>
            <w:vAlign w:val="center"/>
          </w:tcPr>
          <w:p w14:paraId="3E5F9526">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项目</w:t>
            </w:r>
          </w:p>
        </w:tc>
        <w:tc>
          <w:tcPr>
            <w:tcW w:w="1204" w:type="pct"/>
            <w:tcBorders>
              <w:top w:val="single" w:color="000000" w:sz="12" w:space="0"/>
              <w:left w:val="single" w:color="000000" w:sz="4" w:space="0"/>
              <w:bottom w:val="single" w:color="000000" w:sz="4" w:space="0"/>
              <w:right w:val="single" w:color="000000" w:sz="4" w:space="0"/>
            </w:tcBorders>
            <w:shd w:val="clear" w:color="auto" w:fill="FFFFFF"/>
            <w:noWrap/>
            <w:vAlign w:val="center"/>
          </w:tcPr>
          <w:p w14:paraId="73E9AB11">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年初预算数</w:t>
            </w:r>
          </w:p>
        </w:tc>
        <w:tc>
          <w:tcPr>
            <w:tcW w:w="1157" w:type="pct"/>
            <w:tcBorders>
              <w:top w:val="single" w:color="000000" w:sz="12" w:space="0"/>
              <w:left w:val="single" w:color="000000" w:sz="4" w:space="0"/>
              <w:bottom w:val="single" w:color="000000" w:sz="4" w:space="0"/>
              <w:right w:val="single" w:color="000000" w:sz="4" w:space="0"/>
            </w:tcBorders>
            <w:shd w:val="clear" w:color="auto" w:fill="FFFFFF"/>
            <w:noWrap/>
            <w:vAlign w:val="center"/>
          </w:tcPr>
          <w:p w14:paraId="6654AA54">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全年预算数</w:t>
            </w:r>
          </w:p>
        </w:tc>
        <w:tc>
          <w:tcPr>
            <w:tcW w:w="1093" w:type="pct"/>
            <w:tcBorders>
              <w:top w:val="single" w:color="000000" w:sz="12" w:space="0"/>
              <w:left w:val="single" w:color="000000" w:sz="4" w:space="0"/>
              <w:bottom w:val="single" w:color="000000" w:sz="4" w:space="0"/>
              <w:right w:val="single" w:color="000000" w:sz="12" w:space="0"/>
            </w:tcBorders>
            <w:shd w:val="clear" w:color="auto" w:fill="FFFFFF"/>
            <w:noWrap/>
            <w:vAlign w:val="center"/>
          </w:tcPr>
          <w:p w14:paraId="59173BCB">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决算数</w:t>
            </w:r>
          </w:p>
        </w:tc>
      </w:tr>
      <w:tr w14:paraId="7CCAC6DE">
        <w:tblPrEx>
          <w:tblCellMar>
            <w:top w:w="0" w:type="dxa"/>
            <w:left w:w="108" w:type="dxa"/>
            <w:bottom w:w="0" w:type="dxa"/>
            <w:right w:w="108" w:type="dxa"/>
          </w:tblCellMar>
        </w:tblPrEx>
        <w:trPr>
          <w:trHeight w:val="454" w:hRule="atLeast"/>
        </w:trPr>
        <w:tc>
          <w:tcPr>
            <w:tcW w:w="1543" w:type="pct"/>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08C5638D">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一、基本支出</w:t>
            </w:r>
          </w:p>
        </w:tc>
        <w:tc>
          <w:tcPr>
            <w:tcW w:w="12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88C901">
            <w:pPr>
              <w:keepNext w:val="0"/>
              <w:keepLines w:val="0"/>
              <w:pageBreakBefore w:val="0"/>
              <w:widowControl/>
              <w:suppressLineNumbers w:val="0"/>
              <w:kinsoku/>
              <w:wordWrap/>
              <w:topLinePunct w:val="0"/>
              <w:bidi w:val="0"/>
              <w:adjustRightInd w:val="0"/>
              <w:snapToGrid w:val="0"/>
              <w:jc w:val="right"/>
              <w:textAlignment w:val="center"/>
              <w:rPr>
                <w:rFonts w:hint="eastAsia" w:ascii="楷体" w:hAnsi="楷体" w:eastAsia="楷体" w:cs="楷体"/>
                <w:b w:val="0"/>
                <w:color w:val="000000"/>
                <w:sz w:val="22"/>
                <w:szCs w:val="22"/>
                <w:highlight w:val="none"/>
              </w:rPr>
            </w:pPr>
            <w:r>
              <w:rPr>
                <w:rFonts w:hint="eastAsia" w:ascii="楷体" w:hAnsi="楷体" w:eastAsia="楷体" w:cs="楷体"/>
                <w:b w:val="0"/>
                <w:i w:val="0"/>
                <w:iCs w:val="0"/>
                <w:color w:val="000000"/>
                <w:kern w:val="0"/>
                <w:sz w:val="22"/>
                <w:szCs w:val="22"/>
                <w:highlight w:val="none"/>
                <w:u w:val="none"/>
                <w:lang w:val="en-US" w:eastAsia="zh-CN" w:bidi="ar"/>
              </w:rPr>
              <w:t>2,821,700.00</w:t>
            </w:r>
          </w:p>
        </w:tc>
        <w:tc>
          <w:tcPr>
            <w:tcW w:w="11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93E85A">
            <w:pPr>
              <w:keepNext w:val="0"/>
              <w:keepLines w:val="0"/>
              <w:pageBreakBefore w:val="0"/>
              <w:widowControl/>
              <w:suppressLineNumbers w:val="0"/>
              <w:kinsoku/>
              <w:wordWrap/>
              <w:topLinePunct w:val="0"/>
              <w:bidi w:val="0"/>
              <w:adjustRightInd w:val="0"/>
              <w:snapToGrid w:val="0"/>
              <w:jc w:val="right"/>
              <w:textAlignment w:val="center"/>
              <w:rPr>
                <w:rFonts w:hint="eastAsia" w:ascii="楷体" w:hAnsi="楷体" w:eastAsia="楷体" w:cs="楷体"/>
                <w:b w:val="0"/>
                <w:color w:val="000000"/>
                <w:sz w:val="22"/>
                <w:szCs w:val="22"/>
                <w:highlight w:val="none"/>
              </w:rPr>
            </w:pPr>
            <w:r>
              <w:rPr>
                <w:rFonts w:hint="eastAsia" w:ascii="楷体" w:hAnsi="楷体" w:eastAsia="楷体" w:cs="楷体"/>
                <w:b w:val="0"/>
                <w:i w:val="0"/>
                <w:iCs w:val="0"/>
                <w:color w:val="000000"/>
                <w:kern w:val="0"/>
                <w:sz w:val="22"/>
                <w:szCs w:val="22"/>
                <w:highlight w:val="none"/>
                <w:u w:val="none"/>
                <w:lang w:val="en-US" w:eastAsia="zh-CN" w:bidi="ar"/>
              </w:rPr>
              <w:t>3,056,182.40</w:t>
            </w:r>
          </w:p>
        </w:tc>
        <w:tc>
          <w:tcPr>
            <w:tcW w:w="1093" w:type="pct"/>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4645BF5A">
            <w:pPr>
              <w:keepNext w:val="0"/>
              <w:keepLines w:val="0"/>
              <w:pageBreakBefore w:val="0"/>
              <w:widowControl/>
              <w:suppressLineNumbers w:val="0"/>
              <w:kinsoku/>
              <w:wordWrap/>
              <w:topLinePunct w:val="0"/>
              <w:bidi w:val="0"/>
              <w:adjustRightInd w:val="0"/>
              <w:snapToGrid w:val="0"/>
              <w:jc w:val="right"/>
              <w:textAlignment w:val="center"/>
              <w:rPr>
                <w:rFonts w:hint="eastAsia" w:ascii="楷体" w:hAnsi="楷体" w:eastAsia="楷体" w:cs="楷体"/>
                <w:b w:val="0"/>
                <w:color w:val="000000"/>
                <w:sz w:val="22"/>
                <w:szCs w:val="22"/>
                <w:highlight w:val="none"/>
              </w:rPr>
            </w:pPr>
            <w:r>
              <w:rPr>
                <w:rFonts w:hint="eastAsia" w:ascii="楷体" w:hAnsi="楷体" w:eastAsia="楷体" w:cs="楷体"/>
                <w:b w:val="0"/>
                <w:i w:val="0"/>
                <w:iCs w:val="0"/>
                <w:color w:val="000000"/>
                <w:kern w:val="0"/>
                <w:sz w:val="22"/>
                <w:szCs w:val="22"/>
                <w:highlight w:val="none"/>
                <w:u w:val="none"/>
                <w:lang w:val="en-US" w:eastAsia="zh-CN" w:bidi="ar"/>
              </w:rPr>
              <w:t>3,056,182.40</w:t>
            </w:r>
          </w:p>
        </w:tc>
      </w:tr>
      <w:tr w14:paraId="0082DA30">
        <w:tblPrEx>
          <w:tblCellMar>
            <w:top w:w="0" w:type="dxa"/>
            <w:left w:w="108" w:type="dxa"/>
            <w:bottom w:w="0" w:type="dxa"/>
            <w:right w:w="108" w:type="dxa"/>
          </w:tblCellMar>
        </w:tblPrEx>
        <w:trPr>
          <w:trHeight w:val="454" w:hRule="atLeast"/>
        </w:trPr>
        <w:tc>
          <w:tcPr>
            <w:tcW w:w="1543" w:type="pct"/>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0A3C376D">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人员经费</w:t>
            </w:r>
          </w:p>
        </w:tc>
        <w:tc>
          <w:tcPr>
            <w:tcW w:w="12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26FEFA">
            <w:pPr>
              <w:keepNext w:val="0"/>
              <w:keepLines w:val="0"/>
              <w:pageBreakBefore w:val="0"/>
              <w:widowControl/>
              <w:suppressLineNumbers w:val="0"/>
              <w:kinsoku/>
              <w:wordWrap/>
              <w:topLinePunct w:val="0"/>
              <w:bidi w:val="0"/>
              <w:adjustRightInd w:val="0"/>
              <w:snapToGrid w:val="0"/>
              <w:jc w:val="right"/>
              <w:textAlignment w:val="center"/>
              <w:rPr>
                <w:rFonts w:hint="eastAsia" w:ascii="楷体" w:hAnsi="楷体" w:eastAsia="楷体" w:cs="楷体"/>
                <w:b w:val="0"/>
                <w:color w:val="000000"/>
                <w:sz w:val="22"/>
                <w:szCs w:val="22"/>
                <w:highlight w:val="none"/>
              </w:rPr>
            </w:pPr>
            <w:r>
              <w:rPr>
                <w:rFonts w:hint="eastAsia" w:ascii="楷体" w:hAnsi="楷体" w:eastAsia="楷体" w:cs="楷体"/>
                <w:b w:val="0"/>
                <w:i w:val="0"/>
                <w:iCs w:val="0"/>
                <w:color w:val="000000"/>
                <w:kern w:val="0"/>
                <w:sz w:val="22"/>
                <w:szCs w:val="22"/>
                <w:highlight w:val="none"/>
                <w:u w:val="none"/>
                <w:lang w:val="en-US" w:eastAsia="zh-CN" w:bidi="ar"/>
              </w:rPr>
              <w:t>2,618,700.00</w:t>
            </w:r>
          </w:p>
        </w:tc>
        <w:tc>
          <w:tcPr>
            <w:tcW w:w="11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10A75E">
            <w:pPr>
              <w:keepNext w:val="0"/>
              <w:keepLines w:val="0"/>
              <w:pageBreakBefore w:val="0"/>
              <w:widowControl/>
              <w:suppressLineNumbers w:val="0"/>
              <w:kinsoku/>
              <w:wordWrap/>
              <w:topLinePunct w:val="0"/>
              <w:bidi w:val="0"/>
              <w:adjustRightInd w:val="0"/>
              <w:snapToGrid w:val="0"/>
              <w:jc w:val="right"/>
              <w:textAlignment w:val="center"/>
              <w:rPr>
                <w:rFonts w:hint="eastAsia" w:ascii="楷体" w:hAnsi="楷体" w:eastAsia="楷体" w:cs="楷体"/>
                <w:b w:val="0"/>
                <w:color w:val="000000"/>
                <w:sz w:val="22"/>
                <w:szCs w:val="22"/>
                <w:highlight w:val="none"/>
              </w:rPr>
            </w:pPr>
            <w:r>
              <w:rPr>
                <w:rFonts w:hint="eastAsia" w:ascii="楷体" w:hAnsi="楷体" w:eastAsia="楷体" w:cs="楷体"/>
                <w:b w:val="0"/>
                <w:i w:val="0"/>
                <w:iCs w:val="0"/>
                <w:color w:val="000000"/>
                <w:kern w:val="0"/>
                <w:sz w:val="22"/>
                <w:szCs w:val="22"/>
                <w:highlight w:val="none"/>
                <w:u w:val="none"/>
                <w:lang w:val="en-US" w:eastAsia="zh-CN" w:bidi="ar"/>
              </w:rPr>
              <w:t>2,852,932.46</w:t>
            </w:r>
          </w:p>
        </w:tc>
        <w:tc>
          <w:tcPr>
            <w:tcW w:w="1093" w:type="pct"/>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7BF1A639">
            <w:pPr>
              <w:keepNext w:val="0"/>
              <w:keepLines w:val="0"/>
              <w:pageBreakBefore w:val="0"/>
              <w:widowControl/>
              <w:suppressLineNumbers w:val="0"/>
              <w:kinsoku/>
              <w:wordWrap/>
              <w:topLinePunct w:val="0"/>
              <w:bidi w:val="0"/>
              <w:adjustRightInd w:val="0"/>
              <w:snapToGrid w:val="0"/>
              <w:jc w:val="right"/>
              <w:textAlignment w:val="center"/>
              <w:rPr>
                <w:rFonts w:hint="eastAsia" w:ascii="楷体" w:hAnsi="楷体" w:eastAsia="楷体" w:cs="楷体"/>
                <w:b w:val="0"/>
                <w:color w:val="000000"/>
                <w:sz w:val="22"/>
                <w:szCs w:val="22"/>
                <w:highlight w:val="none"/>
              </w:rPr>
            </w:pPr>
            <w:r>
              <w:rPr>
                <w:rFonts w:hint="eastAsia" w:ascii="楷体" w:hAnsi="楷体" w:eastAsia="楷体" w:cs="楷体"/>
                <w:b w:val="0"/>
                <w:i w:val="0"/>
                <w:iCs w:val="0"/>
                <w:color w:val="000000"/>
                <w:kern w:val="0"/>
                <w:sz w:val="22"/>
                <w:szCs w:val="22"/>
                <w:highlight w:val="none"/>
                <w:u w:val="none"/>
                <w:lang w:val="en-US" w:eastAsia="zh-CN" w:bidi="ar"/>
              </w:rPr>
              <w:t>2,852,932.46</w:t>
            </w:r>
          </w:p>
        </w:tc>
      </w:tr>
      <w:tr w14:paraId="3C079B78">
        <w:tblPrEx>
          <w:tblCellMar>
            <w:top w:w="0" w:type="dxa"/>
            <w:left w:w="108" w:type="dxa"/>
            <w:bottom w:w="0" w:type="dxa"/>
            <w:right w:w="108" w:type="dxa"/>
          </w:tblCellMar>
        </w:tblPrEx>
        <w:trPr>
          <w:trHeight w:val="454" w:hRule="atLeast"/>
        </w:trPr>
        <w:tc>
          <w:tcPr>
            <w:tcW w:w="1543" w:type="pct"/>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36F9121E">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公用经费</w:t>
            </w:r>
          </w:p>
        </w:tc>
        <w:tc>
          <w:tcPr>
            <w:tcW w:w="12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38E8F6">
            <w:pPr>
              <w:keepNext w:val="0"/>
              <w:keepLines w:val="0"/>
              <w:pageBreakBefore w:val="0"/>
              <w:widowControl/>
              <w:suppressLineNumbers w:val="0"/>
              <w:kinsoku/>
              <w:wordWrap/>
              <w:topLinePunct w:val="0"/>
              <w:bidi w:val="0"/>
              <w:adjustRightInd w:val="0"/>
              <w:snapToGrid w:val="0"/>
              <w:jc w:val="right"/>
              <w:textAlignment w:val="center"/>
              <w:rPr>
                <w:rFonts w:hint="eastAsia" w:ascii="楷体" w:hAnsi="楷体" w:eastAsia="楷体" w:cs="楷体"/>
                <w:b w:val="0"/>
                <w:color w:val="000000"/>
                <w:sz w:val="22"/>
                <w:szCs w:val="22"/>
                <w:highlight w:val="none"/>
              </w:rPr>
            </w:pPr>
            <w:r>
              <w:rPr>
                <w:rFonts w:hint="eastAsia" w:ascii="楷体" w:hAnsi="楷体" w:eastAsia="楷体" w:cs="楷体"/>
                <w:b w:val="0"/>
                <w:i w:val="0"/>
                <w:iCs w:val="0"/>
                <w:color w:val="000000"/>
                <w:kern w:val="0"/>
                <w:sz w:val="22"/>
                <w:szCs w:val="22"/>
                <w:highlight w:val="none"/>
                <w:u w:val="none"/>
                <w:lang w:val="en-US" w:eastAsia="zh-CN" w:bidi="ar"/>
              </w:rPr>
              <w:t>203,000.00</w:t>
            </w:r>
          </w:p>
        </w:tc>
        <w:tc>
          <w:tcPr>
            <w:tcW w:w="11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4DDF0F">
            <w:pPr>
              <w:keepNext w:val="0"/>
              <w:keepLines w:val="0"/>
              <w:pageBreakBefore w:val="0"/>
              <w:widowControl/>
              <w:suppressLineNumbers w:val="0"/>
              <w:kinsoku/>
              <w:wordWrap/>
              <w:topLinePunct w:val="0"/>
              <w:bidi w:val="0"/>
              <w:adjustRightInd w:val="0"/>
              <w:snapToGrid w:val="0"/>
              <w:jc w:val="right"/>
              <w:textAlignment w:val="center"/>
              <w:rPr>
                <w:rFonts w:hint="eastAsia" w:ascii="楷体" w:hAnsi="楷体" w:eastAsia="楷体" w:cs="楷体"/>
                <w:b w:val="0"/>
                <w:color w:val="000000"/>
                <w:sz w:val="22"/>
                <w:szCs w:val="22"/>
                <w:highlight w:val="none"/>
              </w:rPr>
            </w:pPr>
            <w:r>
              <w:rPr>
                <w:rFonts w:hint="eastAsia" w:ascii="楷体" w:hAnsi="楷体" w:eastAsia="楷体" w:cs="楷体"/>
                <w:b w:val="0"/>
                <w:i w:val="0"/>
                <w:iCs w:val="0"/>
                <w:color w:val="000000"/>
                <w:kern w:val="0"/>
                <w:sz w:val="22"/>
                <w:szCs w:val="22"/>
                <w:highlight w:val="none"/>
                <w:u w:val="none"/>
                <w:lang w:val="en-US" w:eastAsia="zh-CN" w:bidi="ar"/>
              </w:rPr>
              <w:t>203,249.94</w:t>
            </w:r>
          </w:p>
        </w:tc>
        <w:tc>
          <w:tcPr>
            <w:tcW w:w="1093" w:type="pct"/>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0C733D69">
            <w:pPr>
              <w:keepNext w:val="0"/>
              <w:keepLines w:val="0"/>
              <w:pageBreakBefore w:val="0"/>
              <w:widowControl/>
              <w:suppressLineNumbers w:val="0"/>
              <w:kinsoku/>
              <w:wordWrap/>
              <w:topLinePunct w:val="0"/>
              <w:bidi w:val="0"/>
              <w:adjustRightInd w:val="0"/>
              <w:snapToGrid w:val="0"/>
              <w:jc w:val="right"/>
              <w:textAlignment w:val="center"/>
              <w:rPr>
                <w:rFonts w:hint="eastAsia" w:ascii="楷体" w:hAnsi="楷体" w:eastAsia="楷体" w:cs="楷体"/>
                <w:b w:val="0"/>
                <w:color w:val="000000"/>
                <w:sz w:val="22"/>
                <w:szCs w:val="22"/>
                <w:highlight w:val="none"/>
              </w:rPr>
            </w:pPr>
            <w:r>
              <w:rPr>
                <w:rFonts w:hint="eastAsia" w:ascii="楷体" w:hAnsi="楷体" w:eastAsia="楷体" w:cs="楷体"/>
                <w:b w:val="0"/>
                <w:i w:val="0"/>
                <w:iCs w:val="0"/>
                <w:color w:val="000000"/>
                <w:kern w:val="0"/>
                <w:sz w:val="22"/>
                <w:szCs w:val="22"/>
                <w:highlight w:val="none"/>
                <w:u w:val="none"/>
                <w:lang w:val="en-US" w:eastAsia="zh-CN" w:bidi="ar"/>
              </w:rPr>
              <w:t>203,249.94</w:t>
            </w:r>
          </w:p>
        </w:tc>
      </w:tr>
      <w:tr w14:paraId="5EBEB263">
        <w:tblPrEx>
          <w:tblCellMar>
            <w:top w:w="0" w:type="dxa"/>
            <w:left w:w="108" w:type="dxa"/>
            <w:bottom w:w="0" w:type="dxa"/>
            <w:right w:w="108" w:type="dxa"/>
          </w:tblCellMar>
        </w:tblPrEx>
        <w:trPr>
          <w:trHeight w:val="454" w:hRule="atLeast"/>
        </w:trPr>
        <w:tc>
          <w:tcPr>
            <w:tcW w:w="1543" w:type="pct"/>
            <w:tcBorders>
              <w:top w:val="single" w:color="000000" w:sz="4" w:space="0"/>
              <w:left w:val="single" w:color="000000" w:sz="12" w:space="0"/>
              <w:bottom w:val="single" w:color="000000" w:sz="4" w:space="0"/>
              <w:right w:val="single" w:color="000000" w:sz="4" w:space="0"/>
            </w:tcBorders>
            <w:shd w:val="clear" w:color="auto" w:fill="FFFFFF"/>
            <w:noWrap/>
            <w:vAlign w:val="center"/>
          </w:tcPr>
          <w:p w14:paraId="0AE41886">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二、项目支出</w:t>
            </w:r>
          </w:p>
        </w:tc>
        <w:tc>
          <w:tcPr>
            <w:tcW w:w="12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8D7C8E">
            <w:pPr>
              <w:keepNext w:val="0"/>
              <w:keepLines w:val="0"/>
              <w:pageBreakBefore w:val="0"/>
              <w:widowControl/>
              <w:suppressLineNumbers w:val="0"/>
              <w:kinsoku/>
              <w:wordWrap/>
              <w:topLinePunct w:val="0"/>
              <w:bidi w:val="0"/>
              <w:adjustRightInd w:val="0"/>
              <w:snapToGrid w:val="0"/>
              <w:jc w:val="right"/>
              <w:textAlignment w:val="center"/>
              <w:rPr>
                <w:rFonts w:hint="eastAsia" w:ascii="楷体" w:hAnsi="楷体" w:eastAsia="楷体" w:cs="楷体"/>
                <w:b w:val="0"/>
                <w:color w:val="000000"/>
                <w:sz w:val="22"/>
                <w:szCs w:val="22"/>
                <w:highlight w:val="none"/>
              </w:rPr>
            </w:pPr>
            <w:r>
              <w:rPr>
                <w:rFonts w:hint="eastAsia" w:ascii="楷体" w:hAnsi="楷体" w:eastAsia="楷体" w:cs="楷体"/>
                <w:b w:val="0"/>
                <w:i w:val="0"/>
                <w:iCs w:val="0"/>
                <w:color w:val="000000"/>
                <w:kern w:val="0"/>
                <w:sz w:val="22"/>
                <w:szCs w:val="22"/>
                <w:highlight w:val="none"/>
                <w:u w:val="none"/>
                <w:lang w:val="en-US" w:eastAsia="zh-CN" w:bidi="ar"/>
              </w:rPr>
              <w:t>880,000.00</w:t>
            </w:r>
          </w:p>
        </w:tc>
        <w:tc>
          <w:tcPr>
            <w:tcW w:w="11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F0566A">
            <w:pPr>
              <w:keepNext w:val="0"/>
              <w:keepLines w:val="0"/>
              <w:pageBreakBefore w:val="0"/>
              <w:widowControl/>
              <w:suppressLineNumbers w:val="0"/>
              <w:kinsoku/>
              <w:wordWrap/>
              <w:topLinePunct w:val="0"/>
              <w:bidi w:val="0"/>
              <w:adjustRightInd w:val="0"/>
              <w:snapToGrid w:val="0"/>
              <w:jc w:val="right"/>
              <w:textAlignment w:val="center"/>
              <w:rPr>
                <w:rFonts w:hint="eastAsia" w:ascii="楷体" w:hAnsi="楷体" w:eastAsia="楷体" w:cs="楷体"/>
                <w:b w:val="0"/>
                <w:color w:val="000000"/>
                <w:sz w:val="22"/>
                <w:szCs w:val="22"/>
                <w:highlight w:val="none"/>
              </w:rPr>
            </w:pPr>
            <w:r>
              <w:rPr>
                <w:rFonts w:hint="eastAsia" w:ascii="楷体" w:hAnsi="楷体" w:eastAsia="楷体" w:cs="楷体"/>
                <w:b w:val="0"/>
                <w:i w:val="0"/>
                <w:iCs w:val="0"/>
                <w:color w:val="000000"/>
                <w:kern w:val="0"/>
                <w:sz w:val="22"/>
                <w:szCs w:val="22"/>
                <w:highlight w:val="none"/>
                <w:u w:val="none"/>
                <w:lang w:val="en-US" w:eastAsia="zh-CN" w:bidi="ar"/>
              </w:rPr>
              <w:t>9,049,103.90</w:t>
            </w:r>
          </w:p>
        </w:tc>
        <w:tc>
          <w:tcPr>
            <w:tcW w:w="1093" w:type="pct"/>
            <w:tcBorders>
              <w:top w:val="single" w:color="000000" w:sz="4" w:space="0"/>
              <w:left w:val="single" w:color="000000" w:sz="4" w:space="0"/>
              <w:bottom w:val="single" w:color="000000" w:sz="4" w:space="0"/>
              <w:right w:val="single" w:color="000000" w:sz="12" w:space="0"/>
            </w:tcBorders>
            <w:shd w:val="clear" w:color="auto" w:fill="FFFFFF"/>
            <w:noWrap/>
            <w:vAlign w:val="center"/>
          </w:tcPr>
          <w:p w14:paraId="782FD9AD">
            <w:pPr>
              <w:keepNext w:val="0"/>
              <w:keepLines w:val="0"/>
              <w:pageBreakBefore w:val="0"/>
              <w:widowControl/>
              <w:suppressLineNumbers w:val="0"/>
              <w:kinsoku/>
              <w:wordWrap/>
              <w:topLinePunct w:val="0"/>
              <w:bidi w:val="0"/>
              <w:adjustRightInd w:val="0"/>
              <w:snapToGrid w:val="0"/>
              <w:jc w:val="right"/>
              <w:textAlignment w:val="center"/>
              <w:rPr>
                <w:rFonts w:hint="eastAsia" w:ascii="楷体" w:hAnsi="楷体" w:eastAsia="楷体" w:cs="楷体"/>
                <w:b w:val="0"/>
                <w:color w:val="000000"/>
                <w:sz w:val="22"/>
                <w:szCs w:val="22"/>
                <w:highlight w:val="none"/>
              </w:rPr>
            </w:pPr>
            <w:r>
              <w:rPr>
                <w:rFonts w:hint="eastAsia" w:ascii="楷体" w:hAnsi="楷体" w:eastAsia="楷体" w:cs="楷体"/>
                <w:b w:val="0"/>
                <w:i w:val="0"/>
                <w:iCs w:val="0"/>
                <w:color w:val="000000"/>
                <w:kern w:val="0"/>
                <w:sz w:val="22"/>
                <w:szCs w:val="22"/>
                <w:highlight w:val="none"/>
                <w:u w:val="none"/>
                <w:lang w:val="en-US" w:eastAsia="zh-CN" w:bidi="ar"/>
              </w:rPr>
              <w:t>9,049,103.90</w:t>
            </w:r>
          </w:p>
        </w:tc>
      </w:tr>
      <w:tr w14:paraId="4E123655">
        <w:tblPrEx>
          <w:tblCellMar>
            <w:top w:w="0" w:type="dxa"/>
            <w:left w:w="108" w:type="dxa"/>
            <w:bottom w:w="0" w:type="dxa"/>
            <w:right w:w="108" w:type="dxa"/>
          </w:tblCellMar>
        </w:tblPrEx>
        <w:trPr>
          <w:trHeight w:val="454" w:hRule="atLeast"/>
        </w:trPr>
        <w:tc>
          <w:tcPr>
            <w:tcW w:w="1543" w:type="pct"/>
            <w:tcBorders>
              <w:top w:val="single" w:color="000000" w:sz="4" w:space="0"/>
              <w:left w:val="single" w:color="000000" w:sz="12" w:space="0"/>
              <w:bottom w:val="single" w:color="000000" w:sz="12" w:space="0"/>
              <w:right w:val="single" w:color="000000" w:sz="4" w:space="0"/>
            </w:tcBorders>
            <w:shd w:val="clear" w:color="auto" w:fill="FFFFFF"/>
            <w:noWrap/>
            <w:vAlign w:val="center"/>
          </w:tcPr>
          <w:p w14:paraId="54CE7993">
            <w:pPr>
              <w:keepNext w:val="0"/>
              <w:keepLines w:val="0"/>
              <w:pageBreakBefore w:val="0"/>
              <w:kinsoku/>
              <w:wordWrap/>
              <w:overflowPunct w:val="0"/>
              <w:topLinePunct w:val="0"/>
              <w:autoSpaceDE w:val="0"/>
              <w:autoSpaceDN w:val="0"/>
              <w:bidi w:val="0"/>
              <w:adjustRightInd w:val="0"/>
              <w:snapToGrid w:val="0"/>
              <w:jc w:val="center"/>
              <w:textAlignment w:val="center"/>
              <w:rPr>
                <w:rFonts w:hint="eastAsia" w:ascii="楷体" w:hAnsi="楷体" w:eastAsia="楷体" w:cs="楷体"/>
                <w:b w:val="0"/>
                <w:color w:val="000000"/>
                <w:sz w:val="22"/>
                <w:szCs w:val="22"/>
                <w:highlight w:val="none"/>
              </w:rPr>
            </w:pPr>
            <w:r>
              <w:rPr>
                <w:rFonts w:hint="eastAsia" w:ascii="楷体" w:hAnsi="楷体" w:eastAsia="楷体" w:cs="楷体"/>
                <w:b w:val="0"/>
                <w:color w:val="000000"/>
                <w:kern w:val="0"/>
                <w:sz w:val="22"/>
                <w:szCs w:val="22"/>
                <w:highlight w:val="none"/>
                <w:lang w:bidi="ar"/>
              </w:rPr>
              <w:t>合计</w:t>
            </w:r>
          </w:p>
        </w:tc>
        <w:tc>
          <w:tcPr>
            <w:tcW w:w="1204" w:type="pct"/>
            <w:tcBorders>
              <w:top w:val="single" w:color="000000" w:sz="4" w:space="0"/>
              <w:left w:val="single" w:color="000000" w:sz="4" w:space="0"/>
              <w:bottom w:val="single" w:color="000000" w:sz="12" w:space="0"/>
              <w:right w:val="single" w:color="000000" w:sz="4" w:space="0"/>
            </w:tcBorders>
            <w:shd w:val="clear" w:color="auto" w:fill="FFFFFF"/>
            <w:noWrap/>
            <w:vAlign w:val="center"/>
          </w:tcPr>
          <w:p w14:paraId="101ACEAD">
            <w:pPr>
              <w:keepNext w:val="0"/>
              <w:keepLines w:val="0"/>
              <w:pageBreakBefore w:val="0"/>
              <w:widowControl/>
              <w:suppressLineNumbers w:val="0"/>
              <w:kinsoku/>
              <w:wordWrap/>
              <w:topLinePunct w:val="0"/>
              <w:bidi w:val="0"/>
              <w:adjustRightInd w:val="0"/>
              <w:snapToGrid w:val="0"/>
              <w:jc w:val="right"/>
              <w:textAlignment w:val="center"/>
              <w:rPr>
                <w:rFonts w:hint="eastAsia" w:ascii="楷体" w:hAnsi="楷体" w:eastAsia="楷体" w:cs="楷体"/>
                <w:b w:val="0"/>
                <w:color w:val="000000"/>
                <w:sz w:val="22"/>
                <w:szCs w:val="22"/>
                <w:highlight w:val="none"/>
              </w:rPr>
            </w:pPr>
            <w:r>
              <w:rPr>
                <w:rFonts w:hint="eastAsia" w:ascii="楷体" w:hAnsi="楷体" w:eastAsia="楷体" w:cs="楷体"/>
                <w:b w:val="0"/>
                <w:i w:val="0"/>
                <w:iCs w:val="0"/>
                <w:color w:val="000000"/>
                <w:kern w:val="0"/>
                <w:sz w:val="22"/>
                <w:szCs w:val="22"/>
                <w:highlight w:val="none"/>
                <w:u w:val="none"/>
                <w:lang w:val="en-US" w:eastAsia="zh-CN" w:bidi="ar"/>
              </w:rPr>
              <w:t>3,701,700.00</w:t>
            </w:r>
          </w:p>
        </w:tc>
        <w:tc>
          <w:tcPr>
            <w:tcW w:w="1157" w:type="pct"/>
            <w:tcBorders>
              <w:top w:val="single" w:color="000000" w:sz="4" w:space="0"/>
              <w:left w:val="single" w:color="000000" w:sz="4" w:space="0"/>
              <w:bottom w:val="single" w:color="000000" w:sz="12" w:space="0"/>
              <w:right w:val="single" w:color="000000" w:sz="4" w:space="0"/>
            </w:tcBorders>
            <w:shd w:val="clear" w:color="auto" w:fill="FFFFFF"/>
            <w:noWrap/>
            <w:vAlign w:val="center"/>
          </w:tcPr>
          <w:p w14:paraId="6F778741">
            <w:pPr>
              <w:keepNext w:val="0"/>
              <w:keepLines w:val="0"/>
              <w:pageBreakBefore w:val="0"/>
              <w:widowControl/>
              <w:suppressLineNumbers w:val="0"/>
              <w:kinsoku/>
              <w:wordWrap/>
              <w:topLinePunct w:val="0"/>
              <w:bidi w:val="0"/>
              <w:adjustRightInd w:val="0"/>
              <w:snapToGrid w:val="0"/>
              <w:jc w:val="right"/>
              <w:textAlignment w:val="center"/>
              <w:rPr>
                <w:rFonts w:hint="eastAsia" w:ascii="楷体" w:hAnsi="楷体" w:eastAsia="楷体" w:cs="楷体"/>
                <w:b w:val="0"/>
                <w:color w:val="000000"/>
                <w:sz w:val="22"/>
                <w:szCs w:val="22"/>
                <w:highlight w:val="none"/>
              </w:rPr>
            </w:pPr>
            <w:r>
              <w:rPr>
                <w:rFonts w:hint="eastAsia" w:ascii="楷体" w:hAnsi="楷体" w:eastAsia="楷体" w:cs="楷体"/>
                <w:b w:val="0"/>
                <w:i w:val="0"/>
                <w:iCs w:val="0"/>
                <w:color w:val="000000"/>
                <w:kern w:val="0"/>
                <w:sz w:val="22"/>
                <w:szCs w:val="22"/>
                <w:highlight w:val="none"/>
                <w:u w:val="none"/>
                <w:lang w:val="en-US" w:eastAsia="zh-CN" w:bidi="ar"/>
              </w:rPr>
              <w:t>12,105,286.30</w:t>
            </w:r>
          </w:p>
        </w:tc>
        <w:tc>
          <w:tcPr>
            <w:tcW w:w="1093" w:type="pct"/>
            <w:tcBorders>
              <w:top w:val="single" w:color="000000" w:sz="4" w:space="0"/>
              <w:left w:val="single" w:color="000000" w:sz="4" w:space="0"/>
              <w:bottom w:val="single" w:color="000000" w:sz="12" w:space="0"/>
              <w:right w:val="single" w:color="000000" w:sz="12" w:space="0"/>
            </w:tcBorders>
            <w:shd w:val="clear" w:color="auto" w:fill="FFFFFF"/>
            <w:noWrap/>
            <w:vAlign w:val="center"/>
          </w:tcPr>
          <w:p w14:paraId="578CC298">
            <w:pPr>
              <w:keepNext w:val="0"/>
              <w:keepLines w:val="0"/>
              <w:pageBreakBefore w:val="0"/>
              <w:widowControl/>
              <w:suppressLineNumbers w:val="0"/>
              <w:kinsoku/>
              <w:wordWrap/>
              <w:topLinePunct w:val="0"/>
              <w:bidi w:val="0"/>
              <w:adjustRightInd w:val="0"/>
              <w:snapToGrid w:val="0"/>
              <w:jc w:val="right"/>
              <w:textAlignment w:val="center"/>
              <w:rPr>
                <w:rFonts w:hint="eastAsia" w:ascii="楷体" w:hAnsi="楷体" w:eastAsia="楷体" w:cs="楷体"/>
                <w:b w:val="0"/>
                <w:color w:val="000000"/>
                <w:sz w:val="22"/>
                <w:szCs w:val="22"/>
                <w:highlight w:val="none"/>
              </w:rPr>
            </w:pPr>
            <w:r>
              <w:rPr>
                <w:rFonts w:hint="eastAsia" w:ascii="楷体" w:hAnsi="楷体" w:eastAsia="楷体" w:cs="楷体"/>
                <w:b w:val="0"/>
                <w:i w:val="0"/>
                <w:iCs w:val="0"/>
                <w:color w:val="000000"/>
                <w:kern w:val="0"/>
                <w:sz w:val="22"/>
                <w:szCs w:val="22"/>
                <w:highlight w:val="none"/>
                <w:u w:val="none"/>
                <w:lang w:val="en-US" w:eastAsia="zh-CN" w:bidi="ar"/>
              </w:rPr>
              <w:t>12,105,286.30</w:t>
            </w:r>
          </w:p>
        </w:tc>
      </w:tr>
    </w:tbl>
    <w:p w14:paraId="2BBB310C">
      <w:pPr>
        <w:pStyle w:val="9"/>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（2）部门重点工作</w:t>
      </w:r>
    </w:p>
    <w:p w14:paraId="47556EDA">
      <w:pPr>
        <w:pStyle w:val="9"/>
        <w:overflowPunct w:val="0"/>
        <w:autoSpaceDE w:val="0"/>
        <w:autoSpaceDN w:val="0"/>
        <w:spacing w:line="560" w:lineRule="exact"/>
        <w:ind w:firstLine="630"/>
        <w:jc w:val="both"/>
        <w:rPr>
          <w:rFonts w:ascii="Times New Roman" w:hAnsi="Times New Roman" w:eastAsia="仿宋_GB2312" w:cs="仿宋_GB2312"/>
          <w:highlight w:val="none"/>
          <w:lang w:val="en-US"/>
        </w:rPr>
      </w:pPr>
      <w:r>
        <w:rPr>
          <w:rFonts w:hint="eastAsia" w:ascii="Times New Roman" w:hAnsi="Times New Roman"/>
          <w:highlight w:val="none"/>
          <w:lang w:val="en-US" w:eastAsia="zh-CN"/>
        </w:rPr>
        <w:t>区水湖局内部制定的2024年工作计划主要内容如下</w:t>
      </w:r>
      <w:r>
        <w:rPr>
          <w:rFonts w:hint="eastAsia" w:ascii="Times New Roman" w:hAnsi="Times New Roman" w:eastAsia="仿宋_GB2312" w:cs="仿宋_GB2312"/>
          <w:highlight w:val="none"/>
          <w:lang w:val="en-US"/>
        </w:rPr>
        <w:t>：</w:t>
      </w:r>
    </w:p>
    <w:tbl>
      <w:tblPr>
        <w:tblStyle w:val="2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0"/>
        <w:gridCol w:w="519"/>
        <w:gridCol w:w="7707"/>
      </w:tblGrid>
      <w:tr w14:paraId="37AD0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blHeader/>
          <w:jc w:val="center"/>
        </w:trPr>
        <w:tc>
          <w:tcPr>
            <w:tcW w:w="458" w:type="pct"/>
            <w:tcBorders>
              <w:top w:val="single" w:color="000000" w:sz="12" w:space="0"/>
              <w:left w:val="single" w:color="000000" w:sz="12" w:space="0"/>
              <w:bottom w:val="single" w:color="000000" w:sz="8" w:space="0"/>
              <w:right w:val="single" w:color="000000" w:sz="8" w:space="0"/>
            </w:tcBorders>
            <w:shd w:val="clear" w:color="auto" w:fill="auto"/>
            <w:vAlign w:val="center"/>
          </w:tcPr>
          <w:p w14:paraId="3FC81AE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楷体" w:hAnsi="楷体" w:eastAsia="楷体" w:cs="楷体"/>
                <w:i w:val="0"/>
                <w:iCs w:val="0"/>
                <w:color w:val="000000"/>
                <w:kern w:val="0"/>
                <w:sz w:val="24"/>
                <w:szCs w:val="24"/>
                <w:highlight w:val="none"/>
                <w:u w:val="none"/>
                <w:lang w:val="en-US" w:eastAsia="zh-CN" w:bidi="ar"/>
              </w:rPr>
            </w:pPr>
            <w:bookmarkStart w:id="13" w:name="_Toc28715"/>
            <w:r>
              <w:rPr>
                <w:rFonts w:hint="eastAsia" w:ascii="楷体" w:hAnsi="楷体" w:eastAsia="楷体" w:cs="楷体"/>
                <w:i w:val="0"/>
                <w:iCs w:val="0"/>
                <w:color w:val="000000"/>
                <w:kern w:val="0"/>
                <w:sz w:val="24"/>
                <w:szCs w:val="24"/>
                <w:highlight w:val="none"/>
                <w:u w:val="none"/>
                <w:lang w:val="en-US" w:eastAsia="zh-CN" w:bidi="ar"/>
              </w:rPr>
              <w:t>工作</w:t>
            </w:r>
          </w:p>
          <w:p w14:paraId="4FA1E52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类别</w:t>
            </w:r>
          </w:p>
        </w:tc>
        <w:tc>
          <w:tcPr>
            <w:tcW w:w="286" w:type="pct"/>
            <w:tcBorders>
              <w:top w:val="single" w:color="000000" w:sz="12" w:space="0"/>
              <w:left w:val="single" w:color="000000" w:sz="8" w:space="0"/>
              <w:bottom w:val="single" w:color="000000" w:sz="8" w:space="0"/>
              <w:right w:val="single" w:color="000000" w:sz="8" w:space="0"/>
            </w:tcBorders>
            <w:shd w:val="clear" w:color="auto" w:fill="auto"/>
            <w:vAlign w:val="center"/>
          </w:tcPr>
          <w:p w14:paraId="31BCC61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序号</w:t>
            </w:r>
          </w:p>
        </w:tc>
        <w:tc>
          <w:tcPr>
            <w:tcW w:w="4255" w:type="pct"/>
            <w:tcBorders>
              <w:top w:val="single" w:color="000000" w:sz="12" w:space="0"/>
              <w:left w:val="single" w:color="000000" w:sz="8" w:space="0"/>
              <w:bottom w:val="single" w:color="000000" w:sz="8" w:space="0"/>
              <w:right w:val="single" w:color="000000" w:sz="12" w:space="0"/>
            </w:tcBorders>
            <w:shd w:val="clear" w:color="auto" w:fill="auto"/>
            <w:vAlign w:val="center"/>
          </w:tcPr>
          <w:p w14:paraId="1553527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具体工作内容</w:t>
            </w:r>
          </w:p>
        </w:tc>
      </w:tr>
      <w:tr w14:paraId="0BCD8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6" w:hRule="atLeast"/>
          <w:jc w:val="center"/>
        </w:trPr>
        <w:tc>
          <w:tcPr>
            <w:tcW w:w="458" w:type="pct"/>
            <w:vMerge w:val="restart"/>
            <w:tcBorders>
              <w:top w:val="single" w:color="000000" w:sz="8" w:space="0"/>
              <w:left w:val="single" w:color="000000" w:sz="12" w:space="0"/>
              <w:bottom w:val="single" w:color="000000" w:sz="8" w:space="0"/>
              <w:right w:val="single" w:color="000000" w:sz="8" w:space="0"/>
            </w:tcBorders>
            <w:shd w:val="clear" w:color="auto" w:fill="auto"/>
            <w:vAlign w:val="center"/>
          </w:tcPr>
          <w:p w14:paraId="6075466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楷体" w:hAnsi="楷体" w:eastAsia="楷体" w:cs="楷体"/>
                <w:i w:val="0"/>
                <w:iCs w:val="0"/>
                <w:color w:val="000000"/>
                <w:kern w:val="0"/>
                <w:sz w:val="24"/>
                <w:szCs w:val="24"/>
                <w:highlight w:val="none"/>
                <w:u w:val="none"/>
                <w:lang w:val="en-US" w:eastAsia="zh-CN" w:bidi="ar"/>
              </w:rPr>
            </w:pPr>
            <w:r>
              <w:rPr>
                <w:rFonts w:hint="eastAsia" w:ascii="楷体" w:hAnsi="楷体" w:eastAsia="楷体" w:cs="楷体"/>
                <w:i w:val="0"/>
                <w:iCs w:val="0"/>
                <w:color w:val="000000"/>
                <w:kern w:val="0"/>
                <w:sz w:val="24"/>
                <w:szCs w:val="24"/>
                <w:highlight w:val="none"/>
                <w:u w:val="none"/>
                <w:lang w:val="en-US" w:eastAsia="zh-CN" w:bidi="ar"/>
              </w:rPr>
              <w:t>党建</w:t>
            </w:r>
          </w:p>
          <w:p w14:paraId="48DA9A3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工作</w:t>
            </w:r>
          </w:p>
        </w:tc>
        <w:tc>
          <w:tcPr>
            <w:tcW w:w="2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43038D8">
            <w:pPr>
              <w:keepNext w:val="0"/>
              <w:keepLines w:val="0"/>
              <w:pageBreakBefore w:val="0"/>
              <w:widowControl/>
              <w:suppressLineNumbers w:val="0"/>
              <w:kinsoku/>
              <w:wordWrap/>
              <w:overflowPunct/>
              <w:topLinePunct w:val="0"/>
              <w:autoSpaceDE/>
              <w:autoSpaceDN/>
              <w:bidi w:val="0"/>
              <w:adjustRightInd w:val="0"/>
              <w:snapToGrid w:val="0"/>
              <w:jc w:val="center"/>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1</w:t>
            </w:r>
          </w:p>
        </w:tc>
        <w:tc>
          <w:tcPr>
            <w:tcW w:w="4255" w:type="pct"/>
            <w:tcBorders>
              <w:top w:val="single" w:color="000000" w:sz="8" w:space="0"/>
              <w:left w:val="single" w:color="000000" w:sz="8" w:space="0"/>
              <w:bottom w:val="single" w:color="000000" w:sz="8" w:space="0"/>
              <w:right w:val="single" w:color="000000" w:sz="12" w:space="0"/>
            </w:tcBorders>
            <w:shd w:val="clear" w:color="auto" w:fill="auto"/>
            <w:vAlign w:val="center"/>
          </w:tcPr>
          <w:p w14:paraId="3BECC377">
            <w:pPr>
              <w:keepNext w:val="0"/>
              <w:keepLines w:val="0"/>
              <w:pageBreakBefore w:val="0"/>
              <w:widowControl/>
              <w:suppressLineNumbers w:val="0"/>
              <w:kinsoku/>
              <w:wordWrap/>
              <w:overflowPunct/>
              <w:topLinePunct w:val="0"/>
              <w:autoSpaceDE/>
              <w:autoSpaceDN/>
              <w:bidi w:val="0"/>
              <w:adjustRightInd w:val="0"/>
              <w:snapToGrid w:val="0"/>
              <w:jc w:val="left"/>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切实落实好全面从严治党主体责任。牢固树立党员领导干部主体责任意识，增强对党负责、对干部健康成长负责的责任感和使命感，坚决贯彻落实党中央关于全面从严治党的部署要求，真管真严、敢管敢严、长管长严，把全面从严治党的主体责任担负起来，从严要求、坚守纪律、严守规矩。</w:t>
            </w:r>
          </w:p>
        </w:tc>
      </w:tr>
      <w:tr w14:paraId="463F2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6" w:hRule="atLeast"/>
          <w:jc w:val="center"/>
        </w:trPr>
        <w:tc>
          <w:tcPr>
            <w:tcW w:w="458" w:type="pct"/>
            <w:vMerge w:val="continue"/>
            <w:tcBorders>
              <w:top w:val="single" w:color="000000" w:sz="8" w:space="0"/>
              <w:left w:val="single" w:color="000000" w:sz="12" w:space="0"/>
              <w:bottom w:val="single" w:color="000000" w:sz="8" w:space="0"/>
              <w:right w:val="single" w:color="000000" w:sz="8" w:space="0"/>
            </w:tcBorders>
            <w:shd w:val="clear" w:color="auto" w:fill="auto"/>
            <w:vAlign w:val="center"/>
          </w:tcPr>
          <w:p w14:paraId="7AA5B3A8">
            <w:pPr>
              <w:keepNext w:val="0"/>
              <w:keepLines w:val="0"/>
              <w:pageBreakBefore w:val="0"/>
              <w:widowControl/>
              <w:kinsoku/>
              <w:wordWrap/>
              <w:overflowPunct/>
              <w:topLinePunct w:val="0"/>
              <w:autoSpaceDE/>
              <w:autoSpaceDN/>
              <w:bidi w:val="0"/>
              <w:adjustRightInd w:val="0"/>
              <w:snapToGrid w:val="0"/>
              <w:jc w:val="center"/>
              <w:rPr>
                <w:rFonts w:hint="eastAsia" w:ascii="楷体" w:hAnsi="楷体" w:eastAsia="楷体" w:cs="楷体"/>
                <w:i w:val="0"/>
                <w:iCs w:val="0"/>
                <w:color w:val="000000"/>
                <w:sz w:val="24"/>
                <w:szCs w:val="24"/>
                <w:highlight w:val="none"/>
                <w:u w:val="none"/>
              </w:rPr>
            </w:pPr>
          </w:p>
        </w:tc>
        <w:tc>
          <w:tcPr>
            <w:tcW w:w="2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C3E002">
            <w:pPr>
              <w:keepNext w:val="0"/>
              <w:keepLines w:val="0"/>
              <w:pageBreakBefore w:val="0"/>
              <w:widowControl/>
              <w:suppressLineNumbers w:val="0"/>
              <w:kinsoku/>
              <w:wordWrap/>
              <w:overflowPunct/>
              <w:topLinePunct w:val="0"/>
              <w:autoSpaceDE/>
              <w:autoSpaceDN/>
              <w:bidi w:val="0"/>
              <w:adjustRightInd w:val="0"/>
              <w:snapToGrid w:val="0"/>
              <w:jc w:val="center"/>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2</w:t>
            </w:r>
          </w:p>
        </w:tc>
        <w:tc>
          <w:tcPr>
            <w:tcW w:w="4255" w:type="pct"/>
            <w:tcBorders>
              <w:top w:val="single" w:color="000000" w:sz="8" w:space="0"/>
              <w:left w:val="single" w:color="000000" w:sz="8" w:space="0"/>
              <w:bottom w:val="single" w:color="000000" w:sz="8" w:space="0"/>
              <w:right w:val="single" w:color="000000" w:sz="12" w:space="0"/>
            </w:tcBorders>
            <w:shd w:val="clear" w:color="auto" w:fill="auto"/>
            <w:vAlign w:val="center"/>
          </w:tcPr>
          <w:p w14:paraId="2ECEDF5D">
            <w:pPr>
              <w:keepNext w:val="0"/>
              <w:keepLines w:val="0"/>
              <w:pageBreakBefore w:val="0"/>
              <w:widowControl/>
              <w:suppressLineNumbers w:val="0"/>
              <w:kinsoku/>
              <w:wordWrap/>
              <w:overflowPunct/>
              <w:topLinePunct w:val="0"/>
              <w:autoSpaceDE/>
              <w:autoSpaceDN/>
              <w:bidi w:val="0"/>
              <w:adjustRightInd w:val="0"/>
              <w:snapToGrid w:val="0"/>
              <w:jc w:val="left"/>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切实抓好政治理论学习。加强理论学习，注重在正面教育引导中筑牢思想防线，不断加强政治理论学习，强化政治意识、大局意识、核心意识、看齐意识，提高法治意识、尊法学法守法意识，引导局党员干部自觉抵制、坚决反对各种意识形态领域错误思想、行为。</w:t>
            </w:r>
          </w:p>
        </w:tc>
      </w:tr>
      <w:tr w14:paraId="2A9DF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2" w:hRule="atLeast"/>
          <w:jc w:val="center"/>
        </w:trPr>
        <w:tc>
          <w:tcPr>
            <w:tcW w:w="458" w:type="pct"/>
            <w:vMerge w:val="continue"/>
            <w:tcBorders>
              <w:top w:val="single" w:color="000000" w:sz="8" w:space="0"/>
              <w:left w:val="single" w:color="000000" w:sz="12" w:space="0"/>
              <w:bottom w:val="single" w:color="000000" w:sz="8" w:space="0"/>
              <w:right w:val="single" w:color="000000" w:sz="8" w:space="0"/>
            </w:tcBorders>
            <w:shd w:val="clear" w:color="auto" w:fill="auto"/>
            <w:vAlign w:val="center"/>
          </w:tcPr>
          <w:p w14:paraId="3BF067DC">
            <w:pPr>
              <w:keepNext w:val="0"/>
              <w:keepLines w:val="0"/>
              <w:pageBreakBefore w:val="0"/>
              <w:widowControl/>
              <w:kinsoku/>
              <w:wordWrap/>
              <w:overflowPunct/>
              <w:topLinePunct w:val="0"/>
              <w:autoSpaceDE/>
              <w:autoSpaceDN/>
              <w:bidi w:val="0"/>
              <w:adjustRightInd w:val="0"/>
              <w:snapToGrid w:val="0"/>
              <w:jc w:val="center"/>
              <w:rPr>
                <w:rFonts w:hint="eastAsia" w:ascii="楷体" w:hAnsi="楷体" w:eastAsia="楷体" w:cs="楷体"/>
                <w:i w:val="0"/>
                <w:iCs w:val="0"/>
                <w:color w:val="000000"/>
                <w:sz w:val="24"/>
                <w:szCs w:val="24"/>
                <w:highlight w:val="none"/>
                <w:u w:val="none"/>
              </w:rPr>
            </w:pPr>
          </w:p>
        </w:tc>
        <w:tc>
          <w:tcPr>
            <w:tcW w:w="2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5E50DB">
            <w:pPr>
              <w:keepNext w:val="0"/>
              <w:keepLines w:val="0"/>
              <w:pageBreakBefore w:val="0"/>
              <w:widowControl/>
              <w:suppressLineNumbers w:val="0"/>
              <w:kinsoku/>
              <w:wordWrap/>
              <w:overflowPunct/>
              <w:topLinePunct w:val="0"/>
              <w:autoSpaceDE/>
              <w:autoSpaceDN/>
              <w:bidi w:val="0"/>
              <w:adjustRightInd w:val="0"/>
              <w:snapToGrid w:val="0"/>
              <w:jc w:val="center"/>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3</w:t>
            </w:r>
          </w:p>
        </w:tc>
        <w:tc>
          <w:tcPr>
            <w:tcW w:w="4255" w:type="pct"/>
            <w:tcBorders>
              <w:top w:val="single" w:color="000000" w:sz="8" w:space="0"/>
              <w:left w:val="single" w:color="000000" w:sz="8" w:space="0"/>
              <w:bottom w:val="single" w:color="000000" w:sz="8" w:space="0"/>
              <w:right w:val="single" w:color="000000" w:sz="12" w:space="0"/>
            </w:tcBorders>
            <w:shd w:val="clear" w:color="auto" w:fill="auto"/>
            <w:vAlign w:val="center"/>
          </w:tcPr>
          <w:p w14:paraId="2BD9A1A4">
            <w:pPr>
              <w:keepNext w:val="0"/>
              <w:keepLines w:val="0"/>
              <w:pageBreakBefore w:val="0"/>
              <w:widowControl/>
              <w:suppressLineNumbers w:val="0"/>
              <w:kinsoku/>
              <w:wordWrap/>
              <w:overflowPunct/>
              <w:topLinePunct w:val="0"/>
              <w:autoSpaceDE/>
              <w:autoSpaceDN/>
              <w:bidi w:val="0"/>
              <w:adjustRightInd w:val="0"/>
              <w:snapToGrid w:val="0"/>
              <w:jc w:val="left"/>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加强党风廉政警示教育。加大规章制度的落实和警示教育的力度，观看警示教育片、参观警示教育基地，教育引导全局党员干部自觉讲政治、守纪律、讲规矩，自觉净化“工作圈”“生活圈”，树立党员良好形象，做一名严守纪律的好干部。</w:t>
            </w:r>
          </w:p>
        </w:tc>
      </w:tr>
      <w:tr w14:paraId="74621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458" w:type="pct"/>
            <w:vMerge w:val="restart"/>
            <w:tcBorders>
              <w:top w:val="single" w:color="000000" w:sz="8" w:space="0"/>
              <w:left w:val="single" w:color="000000" w:sz="12" w:space="0"/>
              <w:bottom w:val="single" w:color="000000" w:sz="8" w:space="0"/>
              <w:right w:val="single" w:color="000000" w:sz="8" w:space="0"/>
            </w:tcBorders>
            <w:shd w:val="clear" w:color="auto" w:fill="auto"/>
            <w:vAlign w:val="center"/>
          </w:tcPr>
          <w:p w14:paraId="70C0F55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楷体" w:hAnsi="楷体" w:eastAsia="楷体" w:cs="楷体"/>
                <w:i w:val="0"/>
                <w:iCs w:val="0"/>
                <w:color w:val="000000"/>
                <w:kern w:val="0"/>
                <w:sz w:val="24"/>
                <w:szCs w:val="24"/>
                <w:highlight w:val="none"/>
                <w:u w:val="none"/>
                <w:lang w:val="en-US" w:eastAsia="zh-CN" w:bidi="ar"/>
              </w:rPr>
            </w:pPr>
            <w:r>
              <w:rPr>
                <w:rFonts w:hint="eastAsia" w:ascii="楷体" w:hAnsi="楷体" w:eastAsia="楷体" w:cs="楷体"/>
                <w:i w:val="0"/>
                <w:iCs w:val="0"/>
                <w:color w:val="000000"/>
                <w:kern w:val="0"/>
                <w:sz w:val="24"/>
                <w:szCs w:val="24"/>
                <w:highlight w:val="none"/>
                <w:u w:val="none"/>
                <w:lang w:val="en-US" w:eastAsia="zh-CN" w:bidi="ar"/>
              </w:rPr>
              <w:t>林业</w:t>
            </w:r>
          </w:p>
          <w:p w14:paraId="2122099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工作</w:t>
            </w:r>
          </w:p>
        </w:tc>
        <w:tc>
          <w:tcPr>
            <w:tcW w:w="2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E4A85F">
            <w:pPr>
              <w:keepNext w:val="0"/>
              <w:keepLines w:val="0"/>
              <w:pageBreakBefore w:val="0"/>
              <w:widowControl/>
              <w:suppressLineNumbers w:val="0"/>
              <w:kinsoku/>
              <w:wordWrap/>
              <w:overflowPunct/>
              <w:topLinePunct w:val="0"/>
              <w:autoSpaceDE/>
              <w:autoSpaceDN/>
              <w:bidi w:val="0"/>
              <w:adjustRightInd w:val="0"/>
              <w:snapToGrid w:val="0"/>
              <w:jc w:val="center"/>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1</w:t>
            </w:r>
          </w:p>
        </w:tc>
        <w:tc>
          <w:tcPr>
            <w:tcW w:w="4255" w:type="pct"/>
            <w:tcBorders>
              <w:top w:val="single" w:color="000000" w:sz="8" w:space="0"/>
              <w:left w:val="single" w:color="000000" w:sz="8" w:space="0"/>
              <w:bottom w:val="single" w:color="000000" w:sz="8" w:space="0"/>
              <w:right w:val="single" w:color="000000" w:sz="12" w:space="0"/>
            </w:tcBorders>
            <w:shd w:val="clear" w:color="auto" w:fill="auto"/>
            <w:vAlign w:val="center"/>
          </w:tcPr>
          <w:p w14:paraId="7890DDE9">
            <w:pPr>
              <w:keepNext w:val="0"/>
              <w:keepLines w:val="0"/>
              <w:pageBreakBefore w:val="0"/>
              <w:widowControl/>
              <w:suppressLineNumbers w:val="0"/>
              <w:kinsoku/>
              <w:wordWrap/>
              <w:overflowPunct/>
              <w:topLinePunct w:val="0"/>
              <w:autoSpaceDE/>
              <w:autoSpaceDN/>
              <w:bidi w:val="0"/>
              <w:adjustRightInd w:val="0"/>
              <w:snapToGrid w:val="0"/>
              <w:jc w:val="left"/>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加强对新造林地管护工作。通过进一步落实管护责任及检查督办工作，确保造林成效。</w:t>
            </w:r>
          </w:p>
        </w:tc>
      </w:tr>
      <w:tr w14:paraId="35022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458" w:type="pct"/>
            <w:vMerge w:val="continue"/>
            <w:tcBorders>
              <w:top w:val="single" w:color="000000" w:sz="8" w:space="0"/>
              <w:left w:val="single" w:color="000000" w:sz="12" w:space="0"/>
              <w:bottom w:val="single" w:color="000000" w:sz="8" w:space="0"/>
              <w:right w:val="single" w:color="000000" w:sz="8" w:space="0"/>
            </w:tcBorders>
            <w:shd w:val="clear" w:color="auto" w:fill="auto"/>
            <w:vAlign w:val="center"/>
          </w:tcPr>
          <w:p w14:paraId="7AC263AB">
            <w:pPr>
              <w:keepNext w:val="0"/>
              <w:keepLines w:val="0"/>
              <w:pageBreakBefore w:val="0"/>
              <w:widowControl/>
              <w:kinsoku/>
              <w:wordWrap/>
              <w:overflowPunct/>
              <w:topLinePunct w:val="0"/>
              <w:autoSpaceDE/>
              <w:autoSpaceDN/>
              <w:bidi w:val="0"/>
              <w:adjustRightInd w:val="0"/>
              <w:snapToGrid w:val="0"/>
              <w:jc w:val="center"/>
              <w:rPr>
                <w:rFonts w:hint="eastAsia" w:ascii="楷体" w:hAnsi="楷体" w:eastAsia="楷体" w:cs="楷体"/>
                <w:i w:val="0"/>
                <w:iCs w:val="0"/>
                <w:color w:val="000000"/>
                <w:sz w:val="24"/>
                <w:szCs w:val="24"/>
                <w:highlight w:val="none"/>
                <w:u w:val="none"/>
              </w:rPr>
            </w:pPr>
          </w:p>
        </w:tc>
        <w:tc>
          <w:tcPr>
            <w:tcW w:w="2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8DD96D">
            <w:pPr>
              <w:keepNext w:val="0"/>
              <w:keepLines w:val="0"/>
              <w:pageBreakBefore w:val="0"/>
              <w:widowControl/>
              <w:suppressLineNumbers w:val="0"/>
              <w:kinsoku/>
              <w:wordWrap/>
              <w:overflowPunct/>
              <w:topLinePunct w:val="0"/>
              <w:autoSpaceDE/>
              <w:autoSpaceDN/>
              <w:bidi w:val="0"/>
              <w:adjustRightInd w:val="0"/>
              <w:snapToGrid w:val="0"/>
              <w:jc w:val="center"/>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2</w:t>
            </w:r>
          </w:p>
        </w:tc>
        <w:tc>
          <w:tcPr>
            <w:tcW w:w="4255" w:type="pct"/>
            <w:tcBorders>
              <w:top w:val="single" w:color="000000" w:sz="8" w:space="0"/>
              <w:left w:val="single" w:color="000000" w:sz="8" w:space="0"/>
              <w:bottom w:val="single" w:color="000000" w:sz="8" w:space="0"/>
              <w:right w:val="single" w:color="000000" w:sz="12" w:space="0"/>
            </w:tcBorders>
            <w:shd w:val="clear" w:color="auto" w:fill="auto"/>
            <w:vAlign w:val="center"/>
          </w:tcPr>
          <w:p w14:paraId="50176AC7">
            <w:pPr>
              <w:keepNext w:val="0"/>
              <w:keepLines w:val="0"/>
              <w:pageBreakBefore w:val="0"/>
              <w:widowControl/>
              <w:suppressLineNumbers w:val="0"/>
              <w:kinsoku/>
              <w:wordWrap/>
              <w:overflowPunct/>
              <w:topLinePunct w:val="0"/>
              <w:autoSpaceDE/>
              <w:autoSpaceDN/>
              <w:bidi w:val="0"/>
              <w:adjustRightInd w:val="0"/>
              <w:snapToGrid w:val="0"/>
              <w:jc w:val="left"/>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做好林长制工作，加强巡林问题整改，实施古树保护工程。</w:t>
            </w:r>
          </w:p>
        </w:tc>
      </w:tr>
      <w:tr w14:paraId="3CA09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458" w:type="pct"/>
            <w:vMerge w:val="continue"/>
            <w:tcBorders>
              <w:top w:val="single" w:color="000000" w:sz="8" w:space="0"/>
              <w:left w:val="single" w:color="000000" w:sz="12" w:space="0"/>
              <w:bottom w:val="single" w:color="000000" w:sz="8" w:space="0"/>
              <w:right w:val="single" w:color="000000" w:sz="8" w:space="0"/>
            </w:tcBorders>
            <w:shd w:val="clear" w:color="auto" w:fill="auto"/>
            <w:vAlign w:val="center"/>
          </w:tcPr>
          <w:p w14:paraId="4612B724">
            <w:pPr>
              <w:keepNext w:val="0"/>
              <w:keepLines w:val="0"/>
              <w:pageBreakBefore w:val="0"/>
              <w:widowControl/>
              <w:kinsoku/>
              <w:wordWrap/>
              <w:overflowPunct/>
              <w:topLinePunct w:val="0"/>
              <w:autoSpaceDE/>
              <w:autoSpaceDN/>
              <w:bidi w:val="0"/>
              <w:adjustRightInd w:val="0"/>
              <w:snapToGrid w:val="0"/>
              <w:jc w:val="center"/>
              <w:rPr>
                <w:rFonts w:hint="eastAsia" w:ascii="楷体" w:hAnsi="楷体" w:eastAsia="楷体" w:cs="楷体"/>
                <w:i w:val="0"/>
                <w:iCs w:val="0"/>
                <w:color w:val="000000"/>
                <w:sz w:val="24"/>
                <w:szCs w:val="24"/>
                <w:highlight w:val="none"/>
                <w:u w:val="none"/>
              </w:rPr>
            </w:pPr>
          </w:p>
        </w:tc>
        <w:tc>
          <w:tcPr>
            <w:tcW w:w="2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38353B">
            <w:pPr>
              <w:keepNext w:val="0"/>
              <w:keepLines w:val="0"/>
              <w:pageBreakBefore w:val="0"/>
              <w:widowControl/>
              <w:suppressLineNumbers w:val="0"/>
              <w:kinsoku/>
              <w:wordWrap/>
              <w:overflowPunct/>
              <w:topLinePunct w:val="0"/>
              <w:autoSpaceDE/>
              <w:autoSpaceDN/>
              <w:bidi w:val="0"/>
              <w:adjustRightInd w:val="0"/>
              <w:snapToGrid w:val="0"/>
              <w:jc w:val="center"/>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3</w:t>
            </w:r>
          </w:p>
        </w:tc>
        <w:tc>
          <w:tcPr>
            <w:tcW w:w="4255" w:type="pct"/>
            <w:tcBorders>
              <w:top w:val="single" w:color="000000" w:sz="8" w:space="0"/>
              <w:left w:val="single" w:color="000000" w:sz="8" w:space="0"/>
              <w:bottom w:val="single" w:color="000000" w:sz="8" w:space="0"/>
              <w:right w:val="single" w:color="000000" w:sz="12" w:space="0"/>
            </w:tcBorders>
            <w:shd w:val="clear" w:color="auto" w:fill="auto"/>
            <w:vAlign w:val="center"/>
          </w:tcPr>
          <w:p w14:paraId="07824BA1">
            <w:pPr>
              <w:keepNext w:val="0"/>
              <w:keepLines w:val="0"/>
              <w:pageBreakBefore w:val="0"/>
              <w:widowControl/>
              <w:suppressLineNumbers w:val="0"/>
              <w:kinsoku/>
              <w:wordWrap/>
              <w:overflowPunct/>
              <w:topLinePunct w:val="0"/>
              <w:autoSpaceDE/>
              <w:autoSpaceDN/>
              <w:bidi w:val="0"/>
              <w:adjustRightInd w:val="0"/>
              <w:snapToGrid w:val="0"/>
              <w:jc w:val="left"/>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做好森林督查案件核查整改工作。</w:t>
            </w:r>
          </w:p>
        </w:tc>
      </w:tr>
      <w:tr w14:paraId="7BA92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458" w:type="pct"/>
            <w:vMerge w:val="continue"/>
            <w:tcBorders>
              <w:top w:val="single" w:color="000000" w:sz="8" w:space="0"/>
              <w:left w:val="single" w:color="000000" w:sz="12" w:space="0"/>
              <w:bottom w:val="single" w:color="000000" w:sz="8" w:space="0"/>
              <w:right w:val="single" w:color="000000" w:sz="8" w:space="0"/>
            </w:tcBorders>
            <w:shd w:val="clear" w:color="auto" w:fill="auto"/>
            <w:vAlign w:val="center"/>
          </w:tcPr>
          <w:p w14:paraId="4EA5E688">
            <w:pPr>
              <w:keepNext w:val="0"/>
              <w:keepLines w:val="0"/>
              <w:pageBreakBefore w:val="0"/>
              <w:widowControl/>
              <w:kinsoku/>
              <w:wordWrap/>
              <w:overflowPunct/>
              <w:topLinePunct w:val="0"/>
              <w:autoSpaceDE/>
              <w:autoSpaceDN/>
              <w:bidi w:val="0"/>
              <w:adjustRightInd w:val="0"/>
              <w:snapToGrid w:val="0"/>
              <w:jc w:val="center"/>
              <w:rPr>
                <w:rFonts w:hint="eastAsia" w:ascii="楷体" w:hAnsi="楷体" w:eastAsia="楷体" w:cs="楷体"/>
                <w:i w:val="0"/>
                <w:iCs w:val="0"/>
                <w:color w:val="000000"/>
                <w:sz w:val="24"/>
                <w:szCs w:val="24"/>
                <w:highlight w:val="none"/>
                <w:u w:val="none"/>
              </w:rPr>
            </w:pPr>
          </w:p>
        </w:tc>
        <w:tc>
          <w:tcPr>
            <w:tcW w:w="2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1C990D">
            <w:pPr>
              <w:keepNext w:val="0"/>
              <w:keepLines w:val="0"/>
              <w:pageBreakBefore w:val="0"/>
              <w:widowControl/>
              <w:suppressLineNumbers w:val="0"/>
              <w:kinsoku/>
              <w:wordWrap/>
              <w:overflowPunct/>
              <w:topLinePunct w:val="0"/>
              <w:autoSpaceDE/>
              <w:autoSpaceDN/>
              <w:bidi w:val="0"/>
              <w:adjustRightInd w:val="0"/>
              <w:snapToGrid w:val="0"/>
              <w:jc w:val="center"/>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4</w:t>
            </w:r>
          </w:p>
        </w:tc>
        <w:tc>
          <w:tcPr>
            <w:tcW w:w="4255" w:type="pct"/>
            <w:tcBorders>
              <w:top w:val="single" w:color="000000" w:sz="8" w:space="0"/>
              <w:left w:val="single" w:color="000000" w:sz="8" w:space="0"/>
              <w:bottom w:val="single" w:color="000000" w:sz="8" w:space="0"/>
              <w:right w:val="single" w:color="000000" w:sz="12" w:space="0"/>
            </w:tcBorders>
            <w:shd w:val="clear" w:color="auto" w:fill="auto"/>
            <w:vAlign w:val="center"/>
          </w:tcPr>
          <w:p w14:paraId="13020C87">
            <w:pPr>
              <w:keepNext w:val="0"/>
              <w:keepLines w:val="0"/>
              <w:pageBreakBefore w:val="0"/>
              <w:widowControl/>
              <w:suppressLineNumbers w:val="0"/>
              <w:kinsoku/>
              <w:wordWrap/>
              <w:overflowPunct/>
              <w:topLinePunct w:val="0"/>
              <w:autoSpaceDE/>
              <w:autoSpaceDN/>
              <w:bidi w:val="0"/>
              <w:adjustRightInd w:val="0"/>
              <w:snapToGrid w:val="0"/>
              <w:jc w:val="left"/>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做好森林病虫害防治，继续开展松材线虫防治工作，落实松材线虫病疫情防控五年攻坚行动（2021—2025年）。</w:t>
            </w:r>
          </w:p>
        </w:tc>
      </w:tr>
      <w:tr w14:paraId="6134F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458" w:type="pct"/>
            <w:vMerge w:val="continue"/>
            <w:tcBorders>
              <w:top w:val="single" w:color="000000" w:sz="8" w:space="0"/>
              <w:left w:val="single" w:color="000000" w:sz="12" w:space="0"/>
              <w:bottom w:val="single" w:color="000000" w:sz="8" w:space="0"/>
              <w:right w:val="single" w:color="000000" w:sz="8" w:space="0"/>
            </w:tcBorders>
            <w:shd w:val="clear" w:color="auto" w:fill="auto"/>
            <w:vAlign w:val="center"/>
          </w:tcPr>
          <w:p w14:paraId="317DC67C">
            <w:pPr>
              <w:keepNext w:val="0"/>
              <w:keepLines w:val="0"/>
              <w:pageBreakBefore w:val="0"/>
              <w:widowControl/>
              <w:kinsoku/>
              <w:wordWrap/>
              <w:overflowPunct/>
              <w:topLinePunct w:val="0"/>
              <w:autoSpaceDE/>
              <w:autoSpaceDN/>
              <w:bidi w:val="0"/>
              <w:adjustRightInd w:val="0"/>
              <w:snapToGrid w:val="0"/>
              <w:jc w:val="center"/>
              <w:rPr>
                <w:rFonts w:hint="eastAsia" w:ascii="楷体" w:hAnsi="楷体" w:eastAsia="楷体" w:cs="楷体"/>
                <w:i w:val="0"/>
                <w:iCs w:val="0"/>
                <w:color w:val="000000"/>
                <w:sz w:val="24"/>
                <w:szCs w:val="24"/>
                <w:highlight w:val="none"/>
                <w:u w:val="none"/>
              </w:rPr>
            </w:pPr>
          </w:p>
        </w:tc>
        <w:tc>
          <w:tcPr>
            <w:tcW w:w="2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2AB508">
            <w:pPr>
              <w:keepNext w:val="0"/>
              <w:keepLines w:val="0"/>
              <w:pageBreakBefore w:val="0"/>
              <w:widowControl/>
              <w:suppressLineNumbers w:val="0"/>
              <w:kinsoku/>
              <w:wordWrap/>
              <w:overflowPunct/>
              <w:topLinePunct w:val="0"/>
              <w:autoSpaceDE/>
              <w:autoSpaceDN/>
              <w:bidi w:val="0"/>
              <w:adjustRightInd w:val="0"/>
              <w:snapToGrid w:val="0"/>
              <w:jc w:val="center"/>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5</w:t>
            </w:r>
          </w:p>
        </w:tc>
        <w:tc>
          <w:tcPr>
            <w:tcW w:w="4255" w:type="pct"/>
            <w:tcBorders>
              <w:top w:val="single" w:color="000000" w:sz="8" w:space="0"/>
              <w:left w:val="single" w:color="000000" w:sz="8" w:space="0"/>
              <w:bottom w:val="single" w:color="000000" w:sz="8" w:space="0"/>
              <w:right w:val="single" w:color="000000" w:sz="12" w:space="0"/>
            </w:tcBorders>
            <w:shd w:val="clear" w:color="auto" w:fill="auto"/>
            <w:vAlign w:val="center"/>
          </w:tcPr>
          <w:p w14:paraId="29D7AA46">
            <w:pPr>
              <w:keepNext w:val="0"/>
              <w:keepLines w:val="0"/>
              <w:pageBreakBefore w:val="0"/>
              <w:widowControl/>
              <w:suppressLineNumbers w:val="0"/>
              <w:kinsoku/>
              <w:wordWrap/>
              <w:overflowPunct/>
              <w:topLinePunct w:val="0"/>
              <w:autoSpaceDE/>
              <w:autoSpaceDN/>
              <w:bidi w:val="0"/>
              <w:adjustRightInd w:val="0"/>
              <w:snapToGrid w:val="0"/>
              <w:jc w:val="left"/>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做好2024年春季植树造林工作。</w:t>
            </w:r>
          </w:p>
        </w:tc>
      </w:tr>
      <w:tr w14:paraId="16677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458" w:type="pct"/>
            <w:vMerge w:val="restart"/>
            <w:tcBorders>
              <w:top w:val="single" w:color="000000" w:sz="8" w:space="0"/>
              <w:left w:val="single" w:color="000000" w:sz="12" w:space="0"/>
              <w:bottom w:val="single" w:color="000000" w:sz="8" w:space="0"/>
              <w:right w:val="single" w:color="000000" w:sz="8" w:space="0"/>
            </w:tcBorders>
            <w:shd w:val="clear" w:color="auto" w:fill="auto"/>
            <w:vAlign w:val="center"/>
          </w:tcPr>
          <w:p w14:paraId="2E73719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楷体" w:hAnsi="楷体" w:eastAsia="楷体" w:cs="楷体"/>
                <w:i w:val="0"/>
                <w:iCs w:val="0"/>
                <w:color w:val="000000"/>
                <w:kern w:val="0"/>
                <w:sz w:val="24"/>
                <w:szCs w:val="24"/>
                <w:highlight w:val="none"/>
                <w:u w:val="none"/>
                <w:lang w:val="en-US" w:eastAsia="zh-CN" w:bidi="ar"/>
              </w:rPr>
            </w:pPr>
            <w:r>
              <w:rPr>
                <w:rFonts w:hint="eastAsia" w:ascii="楷体" w:hAnsi="楷体" w:eastAsia="楷体" w:cs="楷体"/>
                <w:i w:val="0"/>
                <w:iCs w:val="0"/>
                <w:color w:val="000000"/>
                <w:kern w:val="0"/>
                <w:sz w:val="24"/>
                <w:szCs w:val="24"/>
                <w:highlight w:val="none"/>
                <w:u w:val="none"/>
                <w:lang w:val="en-US" w:eastAsia="zh-CN" w:bidi="ar"/>
              </w:rPr>
              <w:t>水利</w:t>
            </w:r>
          </w:p>
          <w:p w14:paraId="7D32630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工作</w:t>
            </w:r>
          </w:p>
        </w:tc>
        <w:tc>
          <w:tcPr>
            <w:tcW w:w="2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5A11F5">
            <w:pPr>
              <w:keepNext w:val="0"/>
              <w:keepLines w:val="0"/>
              <w:pageBreakBefore w:val="0"/>
              <w:widowControl/>
              <w:suppressLineNumbers w:val="0"/>
              <w:kinsoku/>
              <w:wordWrap/>
              <w:overflowPunct/>
              <w:topLinePunct w:val="0"/>
              <w:autoSpaceDE/>
              <w:autoSpaceDN/>
              <w:bidi w:val="0"/>
              <w:adjustRightInd w:val="0"/>
              <w:snapToGrid w:val="0"/>
              <w:jc w:val="center"/>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1</w:t>
            </w:r>
          </w:p>
        </w:tc>
        <w:tc>
          <w:tcPr>
            <w:tcW w:w="4255" w:type="pct"/>
            <w:tcBorders>
              <w:top w:val="single" w:color="000000" w:sz="8" w:space="0"/>
              <w:left w:val="single" w:color="000000" w:sz="8" w:space="0"/>
              <w:bottom w:val="single" w:color="000000" w:sz="8" w:space="0"/>
              <w:right w:val="single" w:color="000000" w:sz="12" w:space="0"/>
            </w:tcBorders>
            <w:shd w:val="clear" w:color="auto" w:fill="auto"/>
            <w:vAlign w:val="center"/>
          </w:tcPr>
          <w:p w14:paraId="5D6052F4">
            <w:pPr>
              <w:keepNext w:val="0"/>
              <w:keepLines w:val="0"/>
              <w:pageBreakBefore w:val="0"/>
              <w:widowControl/>
              <w:suppressLineNumbers w:val="0"/>
              <w:kinsoku/>
              <w:wordWrap/>
              <w:overflowPunct/>
              <w:topLinePunct w:val="0"/>
              <w:autoSpaceDE/>
              <w:autoSpaceDN/>
              <w:bidi w:val="0"/>
              <w:adjustRightInd w:val="0"/>
              <w:snapToGrid w:val="0"/>
              <w:jc w:val="left"/>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做好2024年防汛抗旱工作。</w:t>
            </w:r>
          </w:p>
        </w:tc>
      </w:tr>
      <w:tr w14:paraId="3733D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458" w:type="pct"/>
            <w:vMerge w:val="continue"/>
            <w:tcBorders>
              <w:top w:val="single" w:color="000000" w:sz="8" w:space="0"/>
              <w:left w:val="single" w:color="000000" w:sz="12" w:space="0"/>
              <w:bottom w:val="single" w:color="000000" w:sz="8" w:space="0"/>
              <w:right w:val="single" w:color="000000" w:sz="8" w:space="0"/>
            </w:tcBorders>
            <w:shd w:val="clear" w:color="auto" w:fill="auto"/>
            <w:vAlign w:val="center"/>
          </w:tcPr>
          <w:p w14:paraId="48D7D5F0">
            <w:pPr>
              <w:keepNext w:val="0"/>
              <w:keepLines w:val="0"/>
              <w:pageBreakBefore w:val="0"/>
              <w:widowControl/>
              <w:kinsoku/>
              <w:wordWrap/>
              <w:overflowPunct/>
              <w:topLinePunct w:val="0"/>
              <w:autoSpaceDE/>
              <w:autoSpaceDN/>
              <w:bidi w:val="0"/>
              <w:adjustRightInd w:val="0"/>
              <w:snapToGrid w:val="0"/>
              <w:jc w:val="center"/>
              <w:rPr>
                <w:rFonts w:hint="eastAsia" w:ascii="楷体" w:hAnsi="楷体" w:eastAsia="楷体" w:cs="楷体"/>
                <w:i w:val="0"/>
                <w:iCs w:val="0"/>
                <w:color w:val="000000"/>
                <w:sz w:val="24"/>
                <w:szCs w:val="24"/>
                <w:highlight w:val="none"/>
                <w:u w:val="none"/>
              </w:rPr>
            </w:pPr>
          </w:p>
        </w:tc>
        <w:tc>
          <w:tcPr>
            <w:tcW w:w="2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6CA38EB">
            <w:pPr>
              <w:keepNext w:val="0"/>
              <w:keepLines w:val="0"/>
              <w:pageBreakBefore w:val="0"/>
              <w:widowControl/>
              <w:suppressLineNumbers w:val="0"/>
              <w:kinsoku/>
              <w:wordWrap/>
              <w:overflowPunct/>
              <w:topLinePunct w:val="0"/>
              <w:autoSpaceDE/>
              <w:autoSpaceDN/>
              <w:bidi w:val="0"/>
              <w:adjustRightInd w:val="0"/>
              <w:snapToGrid w:val="0"/>
              <w:jc w:val="center"/>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2</w:t>
            </w:r>
          </w:p>
        </w:tc>
        <w:tc>
          <w:tcPr>
            <w:tcW w:w="4255" w:type="pct"/>
            <w:tcBorders>
              <w:top w:val="single" w:color="000000" w:sz="8" w:space="0"/>
              <w:left w:val="single" w:color="000000" w:sz="8" w:space="0"/>
              <w:bottom w:val="single" w:color="000000" w:sz="8" w:space="0"/>
              <w:right w:val="single" w:color="000000" w:sz="12" w:space="0"/>
            </w:tcBorders>
            <w:shd w:val="clear" w:color="auto" w:fill="auto"/>
            <w:vAlign w:val="center"/>
          </w:tcPr>
          <w:p w14:paraId="431D76A4">
            <w:pPr>
              <w:keepNext w:val="0"/>
              <w:keepLines w:val="0"/>
              <w:pageBreakBefore w:val="0"/>
              <w:widowControl/>
              <w:suppressLineNumbers w:val="0"/>
              <w:kinsoku/>
              <w:wordWrap/>
              <w:overflowPunct/>
              <w:topLinePunct w:val="0"/>
              <w:autoSpaceDE/>
              <w:autoSpaceDN/>
              <w:bidi w:val="0"/>
              <w:adjustRightInd w:val="0"/>
              <w:snapToGrid w:val="0"/>
              <w:jc w:val="left"/>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开展水土保持专项执法工作，水资源费、水土保持费征收工作，督促我区生产建设项目完成水土保持方案编制。</w:t>
            </w:r>
          </w:p>
        </w:tc>
      </w:tr>
      <w:tr w14:paraId="745B7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458" w:type="pct"/>
            <w:vMerge w:val="continue"/>
            <w:tcBorders>
              <w:top w:val="single" w:color="000000" w:sz="8" w:space="0"/>
              <w:left w:val="single" w:color="000000" w:sz="12" w:space="0"/>
              <w:bottom w:val="single" w:color="000000" w:sz="8" w:space="0"/>
              <w:right w:val="single" w:color="000000" w:sz="8" w:space="0"/>
            </w:tcBorders>
            <w:shd w:val="clear" w:color="auto" w:fill="auto"/>
            <w:vAlign w:val="center"/>
          </w:tcPr>
          <w:p w14:paraId="4A9AAFE7">
            <w:pPr>
              <w:keepNext w:val="0"/>
              <w:keepLines w:val="0"/>
              <w:pageBreakBefore w:val="0"/>
              <w:widowControl/>
              <w:kinsoku/>
              <w:wordWrap/>
              <w:overflowPunct/>
              <w:topLinePunct w:val="0"/>
              <w:autoSpaceDE/>
              <w:autoSpaceDN/>
              <w:bidi w:val="0"/>
              <w:adjustRightInd w:val="0"/>
              <w:snapToGrid w:val="0"/>
              <w:jc w:val="center"/>
              <w:rPr>
                <w:rFonts w:hint="eastAsia" w:ascii="楷体" w:hAnsi="楷体" w:eastAsia="楷体" w:cs="楷体"/>
                <w:i w:val="0"/>
                <w:iCs w:val="0"/>
                <w:color w:val="000000"/>
                <w:sz w:val="24"/>
                <w:szCs w:val="24"/>
                <w:highlight w:val="none"/>
                <w:u w:val="none"/>
              </w:rPr>
            </w:pPr>
          </w:p>
        </w:tc>
        <w:tc>
          <w:tcPr>
            <w:tcW w:w="2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2BA113">
            <w:pPr>
              <w:keepNext w:val="0"/>
              <w:keepLines w:val="0"/>
              <w:pageBreakBefore w:val="0"/>
              <w:widowControl/>
              <w:suppressLineNumbers w:val="0"/>
              <w:kinsoku/>
              <w:wordWrap/>
              <w:overflowPunct/>
              <w:topLinePunct w:val="0"/>
              <w:autoSpaceDE/>
              <w:autoSpaceDN/>
              <w:bidi w:val="0"/>
              <w:adjustRightInd w:val="0"/>
              <w:snapToGrid w:val="0"/>
              <w:jc w:val="center"/>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3</w:t>
            </w:r>
          </w:p>
        </w:tc>
        <w:tc>
          <w:tcPr>
            <w:tcW w:w="4255" w:type="pct"/>
            <w:tcBorders>
              <w:top w:val="single" w:color="000000" w:sz="8" w:space="0"/>
              <w:left w:val="single" w:color="000000" w:sz="8" w:space="0"/>
              <w:bottom w:val="single" w:color="000000" w:sz="8" w:space="0"/>
              <w:right w:val="single" w:color="000000" w:sz="12" w:space="0"/>
            </w:tcBorders>
            <w:shd w:val="clear" w:color="auto" w:fill="auto"/>
            <w:vAlign w:val="center"/>
          </w:tcPr>
          <w:p w14:paraId="36EE12DD">
            <w:pPr>
              <w:keepNext w:val="0"/>
              <w:keepLines w:val="0"/>
              <w:pageBreakBefore w:val="0"/>
              <w:widowControl/>
              <w:suppressLineNumbers w:val="0"/>
              <w:kinsoku/>
              <w:wordWrap/>
              <w:overflowPunct/>
              <w:topLinePunct w:val="0"/>
              <w:autoSpaceDE/>
              <w:autoSpaceDN/>
              <w:bidi w:val="0"/>
              <w:adjustRightInd w:val="0"/>
              <w:snapToGrid w:val="0"/>
              <w:jc w:val="left"/>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推动下陆区再生水利用配置试点项目、东方山小流域治理二期和排洪港治理工程建设，做好项目资金争取工作。</w:t>
            </w:r>
          </w:p>
        </w:tc>
      </w:tr>
      <w:tr w14:paraId="7505F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458" w:type="pct"/>
            <w:vMerge w:val="restart"/>
            <w:tcBorders>
              <w:top w:val="single" w:color="000000" w:sz="8" w:space="0"/>
              <w:left w:val="single" w:color="000000" w:sz="12" w:space="0"/>
              <w:bottom w:val="single" w:color="000000" w:sz="8" w:space="0"/>
              <w:right w:val="single" w:color="000000" w:sz="8" w:space="0"/>
            </w:tcBorders>
            <w:shd w:val="clear" w:color="auto" w:fill="auto"/>
            <w:vAlign w:val="center"/>
          </w:tcPr>
          <w:p w14:paraId="402E0D1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楷体" w:hAnsi="楷体" w:eastAsia="楷体" w:cs="楷体"/>
                <w:i w:val="0"/>
                <w:iCs w:val="0"/>
                <w:color w:val="000000"/>
                <w:kern w:val="0"/>
                <w:sz w:val="24"/>
                <w:szCs w:val="24"/>
                <w:highlight w:val="none"/>
                <w:u w:val="none"/>
                <w:lang w:val="en-US" w:eastAsia="zh-CN" w:bidi="ar"/>
              </w:rPr>
            </w:pPr>
            <w:r>
              <w:rPr>
                <w:rFonts w:hint="eastAsia" w:ascii="楷体" w:hAnsi="楷体" w:eastAsia="楷体" w:cs="楷体"/>
                <w:i w:val="0"/>
                <w:iCs w:val="0"/>
                <w:color w:val="000000"/>
                <w:kern w:val="0"/>
                <w:sz w:val="24"/>
                <w:szCs w:val="24"/>
                <w:highlight w:val="none"/>
                <w:u w:val="none"/>
                <w:lang w:val="en-US" w:eastAsia="zh-CN" w:bidi="ar"/>
              </w:rPr>
              <w:t>农业</w:t>
            </w:r>
          </w:p>
          <w:p w14:paraId="1C4250F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工作</w:t>
            </w:r>
          </w:p>
        </w:tc>
        <w:tc>
          <w:tcPr>
            <w:tcW w:w="2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B77B68">
            <w:pPr>
              <w:keepNext w:val="0"/>
              <w:keepLines w:val="0"/>
              <w:pageBreakBefore w:val="0"/>
              <w:widowControl/>
              <w:suppressLineNumbers w:val="0"/>
              <w:kinsoku/>
              <w:wordWrap/>
              <w:overflowPunct/>
              <w:topLinePunct w:val="0"/>
              <w:autoSpaceDE/>
              <w:autoSpaceDN/>
              <w:bidi w:val="0"/>
              <w:adjustRightInd w:val="0"/>
              <w:snapToGrid w:val="0"/>
              <w:jc w:val="center"/>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1</w:t>
            </w:r>
          </w:p>
        </w:tc>
        <w:tc>
          <w:tcPr>
            <w:tcW w:w="4255" w:type="pct"/>
            <w:tcBorders>
              <w:top w:val="single" w:color="000000" w:sz="8" w:space="0"/>
              <w:left w:val="single" w:color="000000" w:sz="8" w:space="0"/>
              <w:bottom w:val="single" w:color="000000" w:sz="8" w:space="0"/>
              <w:right w:val="single" w:color="000000" w:sz="12" w:space="0"/>
            </w:tcBorders>
            <w:shd w:val="clear" w:color="auto" w:fill="auto"/>
            <w:vAlign w:val="center"/>
          </w:tcPr>
          <w:p w14:paraId="52EB1912">
            <w:pPr>
              <w:keepNext w:val="0"/>
              <w:keepLines w:val="0"/>
              <w:pageBreakBefore w:val="0"/>
              <w:widowControl/>
              <w:suppressLineNumbers w:val="0"/>
              <w:kinsoku/>
              <w:wordWrap/>
              <w:overflowPunct/>
              <w:topLinePunct w:val="0"/>
              <w:autoSpaceDE/>
              <w:autoSpaceDN/>
              <w:bidi w:val="0"/>
              <w:adjustRightInd w:val="0"/>
              <w:snapToGrid w:val="0"/>
              <w:jc w:val="left"/>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抓好畜牧关停回头看工作，防止反弹。</w:t>
            </w:r>
          </w:p>
        </w:tc>
      </w:tr>
      <w:tr w14:paraId="69FC2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458" w:type="pct"/>
            <w:vMerge w:val="continue"/>
            <w:tcBorders>
              <w:top w:val="single" w:color="000000" w:sz="8" w:space="0"/>
              <w:left w:val="single" w:color="000000" w:sz="12" w:space="0"/>
              <w:bottom w:val="single" w:color="000000" w:sz="8" w:space="0"/>
              <w:right w:val="single" w:color="000000" w:sz="8" w:space="0"/>
            </w:tcBorders>
            <w:shd w:val="clear" w:color="auto" w:fill="auto"/>
            <w:vAlign w:val="center"/>
          </w:tcPr>
          <w:p w14:paraId="5071B079">
            <w:pPr>
              <w:keepNext w:val="0"/>
              <w:keepLines w:val="0"/>
              <w:pageBreakBefore w:val="0"/>
              <w:widowControl/>
              <w:kinsoku/>
              <w:wordWrap/>
              <w:overflowPunct/>
              <w:topLinePunct w:val="0"/>
              <w:autoSpaceDE/>
              <w:autoSpaceDN/>
              <w:bidi w:val="0"/>
              <w:adjustRightInd w:val="0"/>
              <w:snapToGrid w:val="0"/>
              <w:jc w:val="center"/>
              <w:rPr>
                <w:rFonts w:hint="eastAsia" w:ascii="楷体" w:hAnsi="楷体" w:eastAsia="楷体" w:cs="楷体"/>
                <w:i w:val="0"/>
                <w:iCs w:val="0"/>
                <w:color w:val="000000"/>
                <w:sz w:val="24"/>
                <w:szCs w:val="24"/>
                <w:highlight w:val="none"/>
                <w:u w:val="none"/>
              </w:rPr>
            </w:pPr>
          </w:p>
        </w:tc>
        <w:tc>
          <w:tcPr>
            <w:tcW w:w="2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AC87BF">
            <w:pPr>
              <w:keepNext w:val="0"/>
              <w:keepLines w:val="0"/>
              <w:pageBreakBefore w:val="0"/>
              <w:widowControl/>
              <w:suppressLineNumbers w:val="0"/>
              <w:kinsoku/>
              <w:wordWrap/>
              <w:overflowPunct/>
              <w:topLinePunct w:val="0"/>
              <w:autoSpaceDE/>
              <w:autoSpaceDN/>
              <w:bidi w:val="0"/>
              <w:adjustRightInd w:val="0"/>
              <w:snapToGrid w:val="0"/>
              <w:jc w:val="center"/>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2</w:t>
            </w:r>
          </w:p>
        </w:tc>
        <w:tc>
          <w:tcPr>
            <w:tcW w:w="4255" w:type="pct"/>
            <w:tcBorders>
              <w:top w:val="single" w:color="000000" w:sz="8" w:space="0"/>
              <w:left w:val="single" w:color="000000" w:sz="8" w:space="0"/>
              <w:bottom w:val="single" w:color="000000" w:sz="8" w:space="0"/>
              <w:right w:val="single" w:color="000000" w:sz="12" w:space="0"/>
            </w:tcBorders>
            <w:shd w:val="clear" w:color="auto" w:fill="auto"/>
            <w:vAlign w:val="center"/>
          </w:tcPr>
          <w:p w14:paraId="0E028AA7">
            <w:pPr>
              <w:keepNext w:val="0"/>
              <w:keepLines w:val="0"/>
              <w:pageBreakBefore w:val="0"/>
              <w:widowControl/>
              <w:suppressLineNumbers w:val="0"/>
              <w:kinsoku/>
              <w:wordWrap/>
              <w:overflowPunct/>
              <w:topLinePunct w:val="0"/>
              <w:autoSpaceDE/>
              <w:autoSpaceDN/>
              <w:bidi w:val="0"/>
              <w:adjustRightInd w:val="0"/>
              <w:snapToGrid w:val="0"/>
              <w:jc w:val="left"/>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积极推进全国第三次土壤普查工作。</w:t>
            </w:r>
          </w:p>
        </w:tc>
      </w:tr>
      <w:tr w14:paraId="54481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458" w:type="pct"/>
            <w:vMerge w:val="continue"/>
            <w:tcBorders>
              <w:top w:val="single" w:color="000000" w:sz="8" w:space="0"/>
              <w:left w:val="single" w:color="000000" w:sz="12" w:space="0"/>
              <w:bottom w:val="single" w:color="000000" w:sz="8" w:space="0"/>
              <w:right w:val="single" w:color="000000" w:sz="8" w:space="0"/>
            </w:tcBorders>
            <w:shd w:val="clear" w:color="auto" w:fill="auto"/>
            <w:vAlign w:val="center"/>
          </w:tcPr>
          <w:p w14:paraId="02984E75">
            <w:pPr>
              <w:keepNext w:val="0"/>
              <w:keepLines w:val="0"/>
              <w:pageBreakBefore w:val="0"/>
              <w:widowControl/>
              <w:kinsoku/>
              <w:wordWrap/>
              <w:overflowPunct/>
              <w:topLinePunct w:val="0"/>
              <w:autoSpaceDE/>
              <w:autoSpaceDN/>
              <w:bidi w:val="0"/>
              <w:adjustRightInd w:val="0"/>
              <w:snapToGrid w:val="0"/>
              <w:jc w:val="center"/>
              <w:rPr>
                <w:rFonts w:hint="eastAsia" w:ascii="楷体" w:hAnsi="楷体" w:eastAsia="楷体" w:cs="楷体"/>
                <w:i w:val="0"/>
                <w:iCs w:val="0"/>
                <w:color w:val="000000"/>
                <w:sz w:val="24"/>
                <w:szCs w:val="24"/>
                <w:highlight w:val="none"/>
                <w:u w:val="none"/>
              </w:rPr>
            </w:pPr>
          </w:p>
        </w:tc>
        <w:tc>
          <w:tcPr>
            <w:tcW w:w="2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BC6C9C">
            <w:pPr>
              <w:keepNext w:val="0"/>
              <w:keepLines w:val="0"/>
              <w:pageBreakBefore w:val="0"/>
              <w:widowControl/>
              <w:suppressLineNumbers w:val="0"/>
              <w:kinsoku/>
              <w:wordWrap/>
              <w:overflowPunct/>
              <w:topLinePunct w:val="0"/>
              <w:autoSpaceDE/>
              <w:autoSpaceDN/>
              <w:bidi w:val="0"/>
              <w:adjustRightInd w:val="0"/>
              <w:snapToGrid w:val="0"/>
              <w:jc w:val="center"/>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3</w:t>
            </w:r>
          </w:p>
        </w:tc>
        <w:tc>
          <w:tcPr>
            <w:tcW w:w="4255" w:type="pct"/>
            <w:tcBorders>
              <w:top w:val="single" w:color="000000" w:sz="8" w:space="0"/>
              <w:left w:val="single" w:color="000000" w:sz="8" w:space="0"/>
              <w:bottom w:val="single" w:color="000000" w:sz="8" w:space="0"/>
              <w:right w:val="single" w:color="000000" w:sz="12" w:space="0"/>
            </w:tcBorders>
            <w:shd w:val="clear" w:color="auto" w:fill="auto"/>
            <w:vAlign w:val="center"/>
          </w:tcPr>
          <w:p w14:paraId="18E38595">
            <w:pPr>
              <w:keepNext w:val="0"/>
              <w:keepLines w:val="0"/>
              <w:pageBreakBefore w:val="0"/>
              <w:widowControl/>
              <w:suppressLineNumbers w:val="0"/>
              <w:kinsoku/>
              <w:wordWrap/>
              <w:overflowPunct/>
              <w:topLinePunct w:val="0"/>
              <w:autoSpaceDE/>
              <w:autoSpaceDN/>
              <w:bidi w:val="0"/>
              <w:adjustRightInd w:val="0"/>
              <w:snapToGrid w:val="0"/>
              <w:jc w:val="left"/>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抓好农资市场监管工作。</w:t>
            </w:r>
          </w:p>
        </w:tc>
      </w:tr>
      <w:tr w14:paraId="2C1D2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458" w:type="pct"/>
            <w:tcBorders>
              <w:top w:val="single" w:color="000000" w:sz="8" w:space="0"/>
              <w:left w:val="single" w:color="000000" w:sz="12" w:space="0"/>
              <w:bottom w:val="single" w:color="000000" w:sz="12" w:space="0"/>
              <w:right w:val="single" w:color="000000" w:sz="8" w:space="0"/>
            </w:tcBorders>
            <w:shd w:val="clear" w:color="auto" w:fill="auto"/>
            <w:vAlign w:val="center"/>
          </w:tcPr>
          <w:p w14:paraId="2B0EB426">
            <w:pPr>
              <w:keepNext w:val="0"/>
              <w:keepLines w:val="0"/>
              <w:pageBreakBefore w:val="0"/>
              <w:widowControl/>
              <w:suppressLineNumbers w:val="0"/>
              <w:kinsoku/>
              <w:wordWrap/>
              <w:overflowPunct/>
              <w:topLinePunct w:val="0"/>
              <w:autoSpaceDE/>
              <w:autoSpaceDN/>
              <w:bidi w:val="0"/>
              <w:adjustRightInd w:val="0"/>
              <w:snapToGrid w:val="0"/>
              <w:jc w:val="center"/>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乡村振兴工作</w:t>
            </w:r>
          </w:p>
        </w:tc>
        <w:tc>
          <w:tcPr>
            <w:tcW w:w="286" w:type="pct"/>
            <w:tcBorders>
              <w:top w:val="single" w:color="000000" w:sz="8" w:space="0"/>
              <w:left w:val="single" w:color="000000" w:sz="8" w:space="0"/>
              <w:bottom w:val="single" w:color="000000" w:sz="12" w:space="0"/>
              <w:right w:val="single" w:color="000000" w:sz="8" w:space="0"/>
            </w:tcBorders>
            <w:shd w:val="clear" w:color="auto" w:fill="auto"/>
            <w:vAlign w:val="center"/>
          </w:tcPr>
          <w:p w14:paraId="22F771C5">
            <w:pPr>
              <w:keepNext w:val="0"/>
              <w:keepLines w:val="0"/>
              <w:pageBreakBefore w:val="0"/>
              <w:widowControl/>
              <w:suppressLineNumbers w:val="0"/>
              <w:kinsoku/>
              <w:wordWrap/>
              <w:overflowPunct/>
              <w:topLinePunct w:val="0"/>
              <w:autoSpaceDE/>
              <w:autoSpaceDN/>
              <w:bidi w:val="0"/>
              <w:adjustRightInd w:val="0"/>
              <w:snapToGrid w:val="0"/>
              <w:jc w:val="center"/>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1</w:t>
            </w:r>
          </w:p>
        </w:tc>
        <w:tc>
          <w:tcPr>
            <w:tcW w:w="4255" w:type="pct"/>
            <w:tcBorders>
              <w:top w:val="single" w:color="000000" w:sz="8" w:space="0"/>
              <w:left w:val="single" w:color="000000" w:sz="8" w:space="0"/>
              <w:bottom w:val="single" w:color="000000" w:sz="12" w:space="0"/>
              <w:right w:val="single" w:color="000000" w:sz="12" w:space="0"/>
            </w:tcBorders>
            <w:shd w:val="clear" w:color="auto" w:fill="auto"/>
            <w:vAlign w:val="center"/>
          </w:tcPr>
          <w:p w14:paraId="501D34D2">
            <w:pPr>
              <w:keepNext w:val="0"/>
              <w:keepLines w:val="0"/>
              <w:pageBreakBefore w:val="0"/>
              <w:widowControl/>
              <w:suppressLineNumbers w:val="0"/>
              <w:kinsoku/>
              <w:wordWrap/>
              <w:overflowPunct/>
              <w:topLinePunct w:val="0"/>
              <w:autoSpaceDE/>
              <w:autoSpaceDN/>
              <w:bidi w:val="0"/>
              <w:adjustRightInd w:val="0"/>
              <w:snapToGrid w:val="0"/>
              <w:jc w:val="left"/>
              <w:textAlignment w:val="top"/>
              <w:rPr>
                <w:rFonts w:hint="eastAsia" w:ascii="楷体" w:hAnsi="楷体" w:eastAsia="楷体" w:cs="楷体"/>
                <w:i w:val="0"/>
                <w:iCs w:val="0"/>
                <w:color w:val="000000"/>
                <w:sz w:val="24"/>
                <w:szCs w:val="24"/>
                <w:highlight w:val="none"/>
                <w:u w:val="none"/>
              </w:rPr>
            </w:pPr>
            <w:r>
              <w:rPr>
                <w:rFonts w:hint="eastAsia" w:ascii="楷体" w:hAnsi="楷体" w:eastAsia="楷体" w:cs="楷体"/>
                <w:i w:val="0"/>
                <w:iCs w:val="0"/>
                <w:color w:val="000000"/>
                <w:kern w:val="0"/>
                <w:sz w:val="24"/>
                <w:szCs w:val="24"/>
                <w:highlight w:val="none"/>
                <w:u w:val="none"/>
                <w:lang w:val="en-US" w:eastAsia="zh-CN" w:bidi="ar"/>
              </w:rPr>
              <w:t>做好区域协作帮扶罗田县乡村振兴工作，加强对区域协作帮扶资金监管，督促相关部门落实研学、疗养等交办事项。</w:t>
            </w:r>
          </w:p>
        </w:tc>
      </w:tr>
    </w:tbl>
    <w:p w14:paraId="65838744">
      <w:pPr>
        <w:pStyle w:val="4"/>
        <w:keepNext w:val="0"/>
        <w:keepLines w:val="0"/>
        <w:overflowPunct w:val="0"/>
        <w:autoSpaceDE w:val="0"/>
        <w:autoSpaceDN w:val="0"/>
        <w:ind w:firstLine="473"/>
        <w:outlineLvl w:val="1"/>
        <w:rPr>
          <w:rFonts w:hint="eastAsia" w:ascii="Times New Roman" w:hAnsi="Times New Roman"/>
          <w:highlight w:val="none"/>
        </w:rPr>
      </w:pPr>
      <w:r>
        <w:rPr>
          <w:rFonts w:hint="eastAsia" w:ascii="Times New Roman" w:hAnsi="Times New Roman"/>
          <w:highlight w:val="none"/>
        </w:rPr>
        <w:t>（二）绩效评价工作开展情况</w:t>
      </w:r>
      <w:bookmarkEnd w:id="13"/>
    </w:p>
    <w:p w14:paraId="01E928CE">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1.评价目的、对象和范围</w:t>
      </w:r>
    </w:p>
    <w:p w14:paraId="68CF05EE">
      <w:pPr>
        <w:pStyle w:val="9"/>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（1）评价目的</w:t>
      </w:r>
    </w:p>
    <w:p w14:paraId="692363E9">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通过对部门整体支出开展重点绩效评价，了解部门整体预算支出执行情况，评价其产出情况及相应的效果，查找单位在预算资金管理使用过程中存在的问题及纰漏，对预算单位的财政资金管理、部门绩效提升提出可行性建议，为政府投入提供依据，促使财政资金发挥最大效益。</w:t>
      </w:r>
    </w:p>
    <w:p w14:paraId="0DBCDA6F">
      <w:pPr>
        <w:pStyle w:val="9"/>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（2）评价对象和范围</w:t>
      </w:r>
    </w:p>
    <w:p w14:paraId="2114804F">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本次绩效评价对象为</w:t>
      </w:r>
      <w:r>
        <w:rPr>
          <w:rFonts w:hint="eastAsia" w:ascii="Times New Roman" w:hAnsi="Times New Roman"/>
          <w:highlight w:val="none"/>
          <w:lang w:val="en-US" w:eastAsia="zh-CN"/>
        </w:rPr>
        <w:t>区水湖局</w:t>
      </w:r>
      <w:r>
        <w:rPr>
          <w:rFonts w:hint="eastAsia" w:ascii="Times New Roman" w:hAnsi="Times New Roman"/>
          <w:highlight w:val="none"/>
          <w:lang w:val="en-US"/>
        </w:rPr>
        <w:t>2024年度部门整体支出，预算资金合计</w:t>
      </w:r>
      <w:r>
        <w:rPr>
          <w:rFonts w:hint="eastAsia" w:ascii="Times New Roman" w:hAnsi="Times New Roman"/>
          <w:highlight w:val="none"/>
          <w:lang w:val="en-US" w:eastAsia="zh-CN"/>
        </w:rPr>
        <w:t>370</w:t>
      </w:r>
      <w:r>
        <w:rPr>
          <w:rFonts w:hint="eastAsia" w:ascii="Times New Roman" w:hAnsi="Times New Roman"/>
          <w:highlight w:val="none"/>
          <w:lang w:val="en-US"/>
        </w:rPr>
        <w:t>.</w:t>
      </w:r>
      <w:r>
        <w:rPr>
          <w:rFonts w:hint="eastAsia" w:ascii="Times New Roman" w:hAnsi="Times New Roman"/>
          <w:highlight w:val="none"/>
          <w:lang w:val="en-US" w:eastAsia="zh-CN"/>
        </w:rPr>
        <w:t>17</w:t>
      </w:r>
      <w:r>
        <w:rPr>
          <w:rFonts w:hint="eastAsia" w:ascii="Times New Roman" w:hAnsi="Times New Roman"/>
          <w:highlight w:val="none"/>
          <w:lang w:val="en-US"/>
        </w:rPr>
        <w:t>万元。</w:t>
      </w:r>
    </w:p>
    <w:p w14:paraId="2A8B2214">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bookmarkStart w:id="14" w:name="_Toc24374"/>
      <w:bookmarkStart w:id="15" w:name="_Toc1599"/>
      <w:r>
        <w:rPr>
          <w:rFonts w:hint="eastAsia" w:ascii="楷体" w:hAnsi="楷体" w:eastAsia="楷体" w:cs="楷体"/>
          <w:b w:val="0"/>
          <w:bCs w:val="0"/>
          <w:kern w:val="0"/>
          <w:sz w:val="32"/>
          <w:szCs w:val="32"/>
          <w:highlight w:val="none"/>
          <w:lang w:val="en-US" w:eastAsia="zh-CN" w:bidi="ar-SA"/>
        </w:rPr>
        <w:t>2.证据收集情况、评价方法、时间安排</w:t>
      </w:r>
      <w:bookmarkEnd w:id="14"/>
      <w:bookmarkEnd w:id="15"/>
    </w:p>
    <w:p w14:paraId="36A728C4">
      <w:pPr>
        <w:pStyle w:val="9"/>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（1）证据收集情况</w:t>
      </w:r>
    </w:p>
    <w:p w14:paraId="45D3B654">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评价机构对该部门进行现场评价，调取单位相关管理制度，工作总结，财务核算的明细账、决算报表等与绩效评价相关的其他资料等。</w:t>
      </w:r>
    </w:p>
    <w:p w14:paraId="66068729">
      <w:pPr>
        <w:pStyle w:val="9"/>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（2）评价方法</w:t>
      </w:r>
    </w:p>
    <w:p w14:paraId="237C1726">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财政支出绩效评价的方法主要包括成本效果分析法、比较法、因素分析法、最低成本法、公众评判法、标杆管理法等。根据评价对象的具体情况，可采用一种或多种方法。</w:t>
      </w:r>
    </w:p>
    <w:p w14:paraId="6A90CBD1">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成本效果分析法，是指将投入与产出、效果进行关联性分析的方法。</w:t>
      </w:r>
    </w:p>
    <w:p w14:paraId="4FE807E9">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比较法，是指将实施情况与绩效目标、历史情况、不同部门和地区同类支出情况进行比较的方法。</w:t>
      </w:r>
    </w:p>
    <w:p w14:paraId="13846092">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因素分析法，是指综合分析影响绩效目标实现、实施效果的内外部因素的方法。</w:t>
      </w:r>
    </w:p>
    <w:p w14:paraId="58797C3B">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最低成本法，是指在绩效目标确定的前提下，成本最小者为优的方法。</w:t>
      </w:r>
    </w:p>
    <w:p w14:paraId="479FD04E">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公众评判法，是指通过专家评估、公众问卷及抽样调查等方式进行评判的方法。</w:t>
      </w:r>
    </w:p>
    <w:p w14:paraId="59071740">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标杆管理法，是指以国内外同行业中较高的绩效水平为标杆进行评判的方法。</w:t>
      </w:r>
    </w:p>
    <w:p w14:paraId="0013E711">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基于本评价项目的服务性、费用性的属性，本次评价主要采用了比较分析法进行评价。</w:t>
      </w:r>
    </w:p>
    <w:p w14:paraId="16943179">
      <w:pPr>
        <w:pStyle w:val="9"/>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（3）评价时间安排</w:t>
      </w:r>
    </w:p>
    <w:p w14:paraId="4E3AAE92">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绩效评价工作分为：接受委托与前期准备、指标体系设计与工作底稿设计、现场调查与资料收集整理、分析评价与形成报告、提交报告等阶段。各阶段的工作简述如下：</w:t>
      </w:r>
    </w:p>
    <w:p w14:paraId="3C4806B4">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2025年</w:t>
      </w:r>
      <w:r>
        <w:rPr>
          <w:rFonts w:hint="eastAsia" w:ascii="Times New Roman" w:hAnsi="Times New Roman"/>
          <w:highlight w:val="none"/>
          <w:lang w:val="en-US" w:eastAsia="zh-CN"/>
        </w:rPr>
        <w:t>7</w:t>
      </w:r>
      <w:r>
        <w:rPr>
          <w:rFonts w:hint="eastAsia" w:ascii="Times New Roman" w:hAnsi="Times New Roman"/>
          <w:highlight w:val="none"/>
          <w:lang w:val="en-US"/>
        </w:rPr>
        <w:t>月1日至</w:t>
      </w:r>
      <w:r>
        <w:rPr>
          <w:rFonts w:hint="eastAsia" w:ascii="Times New Roman" w:hAnsi="Times New Roman"/>
          <w:highlight w:val="none"/>
          <w:lang w:val="en-US" w:eastAsia="zh-CN"/>
        </w:rPr>
        <w:t>8</w:t>
      </w:r>
      <w:r>
        <w:rPr>
          <w:rFonts w:hint="eastAsia" w:ascii="Times New Roman" w:hAnsi="Times New Roman"/>
          <w:highlight w:val="none"/>
          <w:lang w:val="en-US"/>
        </w:rPr>
        <w:t>日，与委托方沟通，明确评价目的、评价时间、评价对象与范围等；收集部门规章制度、自评报告等资料；明确绩效评价工作步骤、相关操作要求和重点关注事项，在此基础上制定绩效评价工作方案。</w:t>
      </w:r>
    </w:p>
    <w:p w14:paraId="3235EBBA">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2025年</w:t>
      </w:r>
      <w:r>
        <w:rPr>
          <w:rFonts w:hint="eastAsia" w:ascii="Times New Roman" w:hAnsi="Times New Roman"/>
          <w:highlight w:val="none"/>
          <w:lang w:val="en-US" w:eastAsia="zh-CN"/>
        </w:rPr>
        <w:t>7</w:t>
      </w:r>
      <w:r>
        <w:rPr>
          <w:rFonts w:hint="eastAsia" w:ascii="Times New Roman" w:hAnsi="Times New Roman"/>
          <w:highlight w:val="none"/>
          <w:lang w:val="en-US"/>
        </w:rPr>
        <w:t>月</w:t>
      </w:r>
      <w:r>
        <w:rPr>
          <w:rFonts w:hint="eastAsia" w:ascii="Times New Roman" w:hAnsi="Times New Roman"/>
          <w:highlight w:val="none"/>
          <w:lang w:val="en-US" w:eastAsia="zh-CN"/>
        </w:rPr>
        <w:t>9</w:t>
      </w:r>
      <w:r>
        <w:rPr>
          <w:rFonts w:hint="eastAsia" w:ascii="Times New Roman" w:hAnsi="Times New Roman"/>
          <w:highlight w:val="none"/>
          <w:lang w:val="en-US"/>
        </w:rPr>
        <w:t>日至</w:t>
      </w:r>
      <w:r>
        <w:rPr>
          <w:rFonts w:hint="eastAsia" w:ascii="Times New Roman" w:hAnsi="Times New Roman"/>
          <w:highlight w:val="none"/>
          <w:lang w:val="en-US" w:eastAsia="zh-CN"/>
        </w:rPr>
        <w:t>7</w:t>
      </w:r>
      <w:r>
        <w:rPr>
          <w:rFonts w:hint="eastAsia" w:ascii="Times New Roman" w:hAnsi="Times New Roman"/>
          <w:highlight w:val="none"/>
          <w:lang w:val="en-US"/>
        </w:rPr>
        <w:t>月</w:t>
      </w:r>
      <w:r>
        <w:rPr>
          <w:rFonts w:hint="eastAsia" w:ascii="Times New Roman" w:hAnsi="Times New Roman"/>
          <w:highlight w:val="none"/>
          <w:lang w:val="en-US" w:eastAsia="zh-CN"/>
        </w:rPr>
        <w:t>31</w:t>
      </w:r>
      <w:r>
        <w:rPr>
          <w:rFonts w:hint="eastAsia" w:ascii="Times New Roman" w:hAnsi="Times New Roman"/>
          <w:highlight w:val="none"/>
          <w:lang w:val="en-US"/>
        </w:rPr>
        <w:t>日，评价人员围绕部门整体支出资金主线，设计初步评价体系，并与委托人、项目管理单位进行沟通、修订指标体系。根据修订后的指标体系设计资料清单、访谈提纲、调查问卷等底稿。</w:t>
      </w:r>
    </w:p>
    <w:p w14:paraId="59A10B39">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2025年</w:t>
      </w:r>
      <w:r>
        <w:rPr>
          <w:rFonts w:hint="eastAsia" w:ascii="Times New Roman" w:hAnsi="Times New Roman"/>
          <w:highlight w:val="none"/>
          <w:lang w:val="en-US" w:eastAsia="zh-CN"/>
        </w:rPr>
        <w:t>8</w:t>
      </w:r>
      <w:r>
        <w:rPr>
          <w:rFonts w:hint="eastAsia" w:ascii="Times New Roman" w:hAnsi="Times New Roman"/>
          <w:highlight w:val="none"/>
          <w:lang w:val="en-US"/>
        </w:rPr>
        <w:t>月1日至2025年</w:t>
      </w:r>
      <w:r>
        <w:rPr>
          <w:rFonts w:hint="eastAsia" w:ascii="Times New Roman" w:hAnsi="Times New Roman"/>
          <w:highlight w:val="none"/>
          <w:lang w:val="en-US" w:eastAsia="zh-CN"/>
        </w:rPr>
        <w:t>8</w:t>
      </w:r>
      <w:r>
        <w:rPr>
          <w:rFonts w:hint="eastAsia" w:ascii="Times New Roman" w:hAnsi="Times New Roman"/>
          <w:highlight w:val="none"/>
          <w:lang w:val="en-US"/>
        </w:rPr>
        <w:t>月</w:t>
      </w:r>
      <w:r>
        <w:rPr>
          <w:rFonts w:hint="eastAsia" w:ascii="Times New Roman" w:hAnsi="Times New Roman"/>
          <w:highlight w:val="none"/>
          <w:lang w:val="en-US" w:eastAsia="zh-CN"/>
        </w:rPr>
        <w:t>20</w:t>
      </w:r>
      <w:r>
        <w:rPr>
          <w:rFonts w:hint="eastAsia" w:ascii="Times New Roman" w:hAnsi="Times New Roman"/>
          <w:highlight w:val="none"/>
          <w:lang w:val="en-US"/>
        </w:rPr>
        <w:t>日，评价人员首先对所收集的资料进行分析整理，然后根据评分标准进行评价，再按相关规范撰写评价报告初稿，送委托人与被评价单位征求意见。</w:t>
      </w:r>
    </w:p>
    <w:p w14:paraId="12385C95">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2025年</w:t>
      </w:r>
      <w:r>
        <w:rPr>
          <w:rFonts w:hint="eastAsia" w:ascii="Times New Roman" w:hAnsi="Times New Roman"/>
          <w:highlight w:val="none"/>
          <w:lang w:val="en-US" w:eastAsia="zh-CN"/>
        </w:rPr>
        <w:t>8</w:t>
      </w:r>
      <w:r>
        <w:rPr>
          <w:rFonts w:hint="eastAsia" w:ascii="Times New Roman" w:hAnsi="Times New Roman"/>
          <w:highlight w:val="none"/>
          <w:lang w:val="en-US"/>
        </w:rPr>
        <w:t>月</w:t>
      </w:r>
      <w:r>
        <w:rPr>
          <w:rFonts w:hint="eastAsia" w:ascii="Times New Roman" w:hAnsi="Times New Roman"/>
          <w:highlight w:val="none"/>
          <w:lang w:val="en-US" w:eastAsia="zh-CN"/>
        </w:rPr>
        <w:t>21</w:t>
      </w:r>
      <w:r>
        <w:rPr>
          <w:rFonts w:hint="eastAsia" w:ascii="Times New Roman" w:hAnsi="Times New Roman"/>
          <w:highlight w:val="none"/>
          <w:lang w:val="en-US"/>
        </w:rPr>
        <w:t>日至2025年</w:t>
      </w:r>
      <w:r>
        <w:rPr>
          <w:rFonts w:hint="eastAsia" w:ascii="Times New Roman" w:hAnsi="Times New Roman"/>
          <w:highlight w:val="none"/>
          <w:lang w:val="en-US" w:eastAsia="zh-CN"/>
        </w:rPr>
        <w:t>8</w:t>
      </w:r>
      <w:r>
        <w:rPr>
          <w:rFonts w:hint="eastAsia" w:ascii="Times New Roman" w:hAnsi="Times New Roman"/>
          <w:highlight w:val="none"/>
          <w:lang w:val="en-US"/>
        </w:rPr>
        <w:t>月</w:t>
      </w:r>
      <w:r>
        <w:rPr>
          <w:rFonts w:hint="eastAsia" w:ascii="Times New Roman" w:hAnsi="Times New Roman"/>
          <w:highlight w:val="none"/>
          <w:lang w:val="en-US" w:eastAsia="zh-CN"/>
        </w:rPr>
        <w:t>30</w:t>
      </w:r>
      <w:r>
        <w:rPr>
          <w:rFonts w:hint="eastAsia" w:ascii="Times New Roman" w:hAnsi="Times New Roman"/>
          <w:highlight w:val="none"/>
          <w:lang w:val="en-US"/>
        </w:rPr>
        <w:t>日，评价人员根据委托人与被评价单位的反馈意见修订评价报告，经过公司内部三级复核、公司盖章、主评人签字后提交委托人。</w:t>
      </w:r>
    </w:p>
    <w:p w14:paraId="17446F90">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3.评价体系和综合评分方法</w:t>
      </w:r>
    </w:p>
    <w:p w14:paraId="377899F7">
      <w:pPr>
        <w:pStyle w:val="9"/>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（1）绩效评价指标的设定</w:t>
      </w:r>
    </w:p>
    <w:p w14:paraId="28B76A7B">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根据《湖北省省直部门整体绩效管理暂行办法》，设计了运行成本、管理效率、履职效能、社会效益、可持续发展能力和服务对象满意度6个一级指标；公用经费控制、在职人员控制、项目支出成本控制等2</w:t>
      </w:r>
      <w:r>
        <w:rPr>
          <w:rFonts w:hint="eastAsia" w:ascii="Times New Roman" w:hAnsi="Times New Roman"/>
          <w:highlight w:val="none"/>
          <w:lang w:val="en-US" w:eastAsia="zh-CN"/>
        </w:rPr>
        <w:t>6</w:t>
      </w:r>
      <w:r>
        <w:rPr>
          <w:rFonts w:hint="eastAsia" w:ascii="Times New Roman" w:hAnsi="Times New Roman"/>
          <w:highlight w:val="none"/>
          <w:lang w:val="en-US"/>
        </w:rPr>
        <w:t>个二级指标；公用经费控制率、在职人员控制率等6</w:t>
      </w:r>
      <w:r>
        <w:rPr>
          <w:rFonts w:hint="eastAsia" w:ascii="Times New Roman" w:hAnsi="Times New Roman"/>
          <w:highlight w:val="none"/>
          <w:lang w:val="en-US" w:eastAsia="zh-CN"/>
        </w:rPr>
        <w:t>3</w:t>
      </w:r>
      <w:r>
        <w:rPr>
          <w:rFonts w:hint="eastAsia" w:ascii="Times New Roman" w:hAnsi="Times New Roman"/>
          <w:highlight w:val="none"/>
          <w:lang w:val="en-US"/>
        </w:rPr>
        <w:t>个三级指标。具体情况详见附件《2024年</w:t>
      </w:r>
      <w:r>
        <w:rPr>
          <w:rFonts w:hint="eastAsia" w:ascii="Times New Roman" w:hAnsi="Times New Roman"/>
          <w:highlight w:val="none"/>
          <w:lang w:val="en-US" w:eastAsia="zh-CN"/>
        </w:rPr>
        <w:t>黄石市下陆区水利和湖泊局</w:t>
      </w:r>
      <w:r>
        <w:rPr>
          <w:rFonts w:hint="eastAsia" w:ascii="Times New Roman" w:hAnsi="Times New Roman"/>
          <w:highlight w:val="none"/>
          <w:lang w:val="en-US"/>
        </w:rPr>
        <w:t>部门整体支出绩效评价指标体系》。</w:t>
      </w:r>
    </w:p>
    <w:p w14:paraId="1F7CAAAE">
      <w:pPr>
        <w:pStyle w:val="9"/>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（2）绩效评价指标权重的设定</w:t>
      </w:r>
    </w:p>
    <w:p w14:paraId="0CAC9F52">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根据湖北省《第三方机构参与预算绩效管理报告编制规范》，财政评价体系应当突出结果导向，原则上产出、效果指标权重不低于60%的要求。评价人员结合部门整体支出资金的特点，采用了层次分析法，逐项对每个层次的指标按照重要性依次确定权重值。</w:t>
      </w:r>
    </w:p>
    <w:p w14:paraId="5568B28D">
      <w:pPr>
        <w:pStyle w:val="9"/>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（3）评价标准</w:t>
      </w:r>
    </w:p>
    <w:p w14:paraId="2C96BA0B">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绩效评价标准的分类，绩效评价标准通常包括计划标准、行业标准、历史标准等，用于对绩效指标完成情况进行比较。</w:t>
      </w:r>
    </w:p>
    <w:p w14:paraId="2D6C0446">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计划标准，指以预先制定的目标、计划、预算、定额等作为评价标准。</w:t>
      </w:r>
    </w:p>
    <w:p w14:paraId="23ECC7D3">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行业标准，指参照国家公布的行业指标数据制定的评价标准。</w:t>
      </w:r>
    </w:p>
    <w:p w14:paraId="4DBAADB0">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历史标准，指参照历史数据制定的评价标准，为体现绩效改进的原则，在可实现的条件下应当确定相对较高的评价标准。</w:t>
      </w:r>
    </w:p>
    <w:p w14:paraId="0DA61015">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财政部门和预算部门确认或认可的其他标准。</w:t>
      </w:r>
    </w:p>
    <w:p w14:paraId="36C3B29F">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本次评价以历史标准、计划标准为主，经验标准为辅助的原则，确定比较标准基准值。</w:t>
      </w:r>
    </w:p>
    <w:p w14:paraId="0CA8520F">
      <w:pPr>
        <w:pStyle w:val="9"/>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（4）绩效评价标准等级界定标准</w:t>
      </w:r>
    </w:p>
    <w:p w14:paraId="3060CA30">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根据湖北省《第三方机构参与预算绩效管理报告编制规范》，绩效评价结果采取评分和评级相结合的方式，具体分值和等级根据不同评价内容设定。总分一般设置为100分，等级一般划分为四档：90（含）-100分为优、80（含）-90分为良、60（含）-80分为中、60分以下为差。</w:t>
      </w:r>
    </w:p>
    <w:p w14:paraId="0C396AE2">
      <w:pPr>
        <w:pStyle w:val="9"/>
        <w:overflowPunct w:val="0"/>
        <w:autoSpaceDE w:val="0"/>
        <w:autoSpaceDN w:val="0"/>
        <w:spacing w:line="560" w:lineRule="exact"/>
        <w:ind w:firstLine="474" w:firstLineChars="150"/>
        <w:jc w:val="both"/>
        <w:rPr>
          <w:rFonts w:ascii="Times New Roman" w:hAnsi="Times New Roman"/>
          <w:highlight w:val="none"/>
          <w:lang w:val="en-US"/>
        </w:rPr>
      </w:pPr>
      <w:r>
        <w:rPr>
          <w:rFonts w:hint="eastAsia" w:ascii="Times New Roman" w:hAnsi="Times New Roman"/>
          <w:highlight w:val="none"/>
          <w:lang w:val="en-US"/>
        </w:rPr>
        <w:t>（5）综合评分方法</w:t>
      </w:r>
    </w:p>
    <w:p w14:paraId="11C6129B">
      <w:pPr>
        <w:pStyle w:val="9"/>
        <w:overflowPunct w:val="0"/>
        <w:autoSpaceDE w:val="0"/>
        <w:autoSpaceDN w:val="0"/>
        <w:spacing w:line="560" w:lineRule="exact"/>
        <w:ind w:firstLine="630"/>
        <w:jc w:val="both"/>
        <w:rPr>
          <w:rFonts w:hint="eastAsia" w:ascii="Times New Roman" w:hAnsi="Times New Roman"/>
          <w:highlight w:val="none"/>
          <w:lang w:val="en-US"/>
        </w:rPr>
      </w:pPr>
      <w:r>
        <w:rPr>
          <w:rFonts w:hint="eastAsia" w:ascii="Times New Roman" w:hAnsi="Times New Roman"/>
          <w:highlight w:val="none"/>
          <w:lang w:val="en-US"/>
        </w:rPr>
        <w:t>采用定量与定性评价相结合的比较法，总分由各项指标得分汇总形成。</w:t>
      </w:r>
    </w:p>
    <w:p w14:paraId="76C4881E">
      <w:pPr>
        <w:pStyle w:val="9"/>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Times New Roman" w:hAnsi="Times New Roman"/>
          <w:highlight w:val="none"/>
          <w:lang w:val="en-US"/>
        </w:rPr>
        <w:t>定量指标得分按照以下方法评定：与年初指标值或2024年度实际完成指标值相比，完成指标值的，即该指标所赋全部分值；</w:t>
      </w:r>
      <w:r>
        <w:rPr>
          <w:rFonts w:hint="eastAsia" w:ascii="仿宋" w:hAnsi="仿宋" w:eastAsia="仿宋" w:cs="仿宋"/>
          <w:highlight w:val="none"/>
          <w:lang w:val="en-US" w:eastAsia="zh-CN"/>
        </w:rPr>
        <w:t>对完成值高于指标值较多的，要分析原因，如果是由于年初指标值设定明显偏低造成的，要按照偏离度适度调减分值；未完成指标值的，按照完成值与指标值的比例</w:t>
      </w:r>
      <w:r>
        <w:rPr>
          <w:rFonts w:hint="eastAsia" w:cs="仿宋"/>
          <w:highlight w:val="none"/>
          <w:lang w:val="en-US" w:eastAsia="zh-CN"/>
        </w:rPr>
        <w:t>计分</w:t>
      </w:r>
      <w:r>
        <w:rPr>
          <w:rFonts w:hint="eastAsia" w:ascii="仿宋" w:hAnsi="仿宋" w:eastAsia="仿宋" w:cs="仿宋"/>
          <w:highlight w:val="none"/>
          <w:lang w:val="en-US" w:eastAsia="zh-CN"/>
        </w:rPr>
        <w:t>。</w:t>
      </w:r>
    </w:p>
    <w:p w14:paraId="6CA6CF7F">
      <w:pPr>
        <w:pStyle w:val="9"/>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定性指标得分按照以下方法评定：根据指标完成情况分为达成年度指标、部分达成年度指标并具有一定效果、未达成年度指标且效果较差三档，分别按照该指标对应分值区间100%</w:t>
      </w:r>
      <w:r>
        <w:rPr>
          <w:rFonts w:hint="eastAsia" w:cs="仿宋"/>
          <w:highlight w:val="none"/>
          <w:lang w:val="en-US" w:eastAsia="zh-CN"/>
        </w:rPr>
        <w:t>～</w:t>
      </w:r>
      <w:r>
        <w:rPr>
          <w:rFonts w:hint="eastAsia" w:ascii="仿宋" w:hAnsi="仿宋" w:eastAsia="仿宋" w:cs="仿宋"/>
          <w:highlight w:val="none"/>
          <w:lang w:val="en-US" w:eastAsia="zh-CN"/>
        </w:rPr>
        <w:t>90%（含）、90%</w:t>
      </w:r>
      <w:r>
        <w:rPr>
          <w:rFonts w:hint="eastAsia" w:cs="仿宋"/>
          <w:highlight w:val="none"/>
          <w:lang w:val="en-US" w:eastAsia="zh-CN"/>
        </w:rPr>
        <w:t>～</w:t>
      </w:r>
      <w:r>
        <w:rPr>
          <w:rFonts w:hint="eastAsia" w:ascii="仿宋" w:hAnsi="仿宋" w:eastAsia="仿宋" w:cs="仿宋"/>
          <w:highlight w:val="none"/>
          <w:lang w:val="en-US" w:eastAsia="zh-CN"/>
        </w:rPr>
        <w:t>60%（含）、60%</w:t>
      </w:r>
      <w:r>
        <w:rPr>
          <w:rFonts w:hint="eastAsia" w:cs="仿宋"/>
          <w:highlight w:val="none"/>
          <w:lang w:val="en-US" w:eastAsia="zh-CN"/>
        </w:rPr>
        <w:t>～</w:t>
      </w:r>
      <w:r>
        <w:rPr>
          <w:rFonts w:hint="eastAsia" w:ascii="仿宋" w:hAnsi="仿宋" w:eastAsia="仿宋" w:cs="仿宋"/>
          <w:highlight w:val="none"/>
          <w:lang w:val="en-US" w:eastAsia="zh-CN"/>
        </w:rPr>
        <w:t>0%合理确定分值。</w:t>
      </w:r>
    </w:p>
    <w:p w14:paraId="56732ADB">
      <w:pPr>
        <w:pStyle w:val="4"/>
        <w:keepNext w:val="0"/>
        <w:keepLines w:val="0"/>
        <w:overflowPunct w:val="0"/>
        <w:autoSpaceDE w:val="0"/>
        <w:autoSpaceDN w:val="0"/>
        <w:ind w:firstLine="473"/>
        <w:outlineLvl w:val="1"/>
        <w:rPr>
          <w:rFonts w:hint="eastAsia" w:ascii="Times New Roman" w:hAnsi="Times New Roman"/>
          <w:highlight w:val="none"/>
        </w:rPr>
      </w:pPr>
      <w:bookmarkStart w:id="16" w:name="_Toc13548"/>
      <w:r>
        <w:rPr>
          <w:rFonts w:hint="eastAsia" w:ascii="Times New Roman" w:hAnsi="Times New Roman"/>
          <w:highlight w:val="none"/>
        </w:rPr>
        <w:t>（三）绩效评价指标完成情况分析</w:t>
      </w:r>
      <w:bookmarkEnd w:id="16"/>
      <w:bookmarkStart w:id="17" w:name="_Toc47455088"/>
    </w:p>
    <w:bookmarkEnd w:id="17"/>
    <w:p w14:paraId="2DB95F4B">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bookmarkStart w:id="18" w:name="_Toc47455089"/>
      <w:r>
        <w:rPr>
          <w:rFonts w:hint="eastAsia" w:ascii="楷体" w:hAnsi="楷体" w:eastAsia="楷体" w:cs="楷体"/>
          <w:b w:val="0"/>
          <w:bCs w:val="0"/>
          <w:kern w:val="0"/>
          <w:sz w:val="32"/>
          <w:szCs w:val="32"/>
          <w:highlight w:val="none"/>
          <w:lang w:val="en-US" w:eastAsia="zh-CN" w:bidi="ar-SA"/>
        </w:rPr>
        <w:t>1.运行成本分析</w:t>
      </w:r>
    </w:p>
    <w:p w14:paraId="42AC31DF">
      <w:pPr>
        <w:pStyle w:val="9"/>
        <w:overflowPunct w:val="0"/>
        <w:autoSpaceDE w:val="0"/>
        <w:autoSpaceDN w:val="0"/>
        <w:spacing w:line="560" w:lineRule="exact"/>
        <w:ind w:firstLine="630"/>
        <w:jc w:val="both"/>
        <w:rPr>
          <w:rFonts w:hint="eastAsia" w:ascii="仿宋" w:hAnsi="仿宋" w:eastAsia="仿宋" w:cs="仿宋"/>
          <w:kern w:val="2"/>
          <w:sz w:val="32"/>
          <w:szCs w:val="32"/>
          <w:highlight w:val="none"/>
          <w:lang w:val="en-US" w:eastAsia="zh-CN" w:bidi="zh-CN"/>
        </w:rPr>
      </w:pPr>
      <w:r>
        <w:rPr>
          <w:rFonts w:hint="eastAsia" w:ascii="仿宋" w:hAnsi="仿宋" w:eastAsia="仿宋" w:cs="仿宋"/>
          <w:kern w:val="2"/>
          <w:sz w:val="32"/>
          <w:szCs w:val="32"/>
          <w:highlight w:val="none"/>
          <w:lang w:val="en-US" w:eastAsia="zh-CN" w:bidi="zh-CN"/>
        </w:rPr>
        <w:t>评价人员从公用经费控制、在职人员控制、项目支出成本控制三个方面对运行成本情况进行了考评，运行成本指标</w:t>
      </w:r>
      <w:r>
        <w:rPr>
          <w:rFonts w:hint="eastAsia" w:ascii="仿宋" w:hAnsi="仿宋" w:eastAsia="仿宋" w:cs="仿宋"/>
          <w:bCs/>
          <w:kern w:val="0"/>
          <w:szCs w:val="32"/>
          <w:highlight w:val="none"/>
          <w:lang w:val="en-US" w:eastAsia="zh-CN"/>
        </w:rPr>
        <w:t>总分8分，实际得分4分，</w:t>
      </w:r>
      <w:r>
        <w:rPr>
          <w:rFonts w:hint="eastAsia" w:ascii="仿宋" w:hAnsi="仿宋" w:eastAsia="仿宋" w:cs="仿宋"/>
          <w:kern w:val="2"/>
          <w:sz w:val="32"/>
          <w:szCs w:val="32"/>
          <w:highlight w:val="none"/>
          <w:lang w:val="en-US" w:eastAsia="zh-CN" w:bidi="zh-CN"/>
        </w:rPr>
        <w:t>具体如下：</w:t>
      </w:r>
    </w:p>
    <w:p w14:paraId="1C96472E">
      <w:pPr>
        <w:pStyle w:val="9"/>
        <w:overflowPunct w:val="0"/>
        <w:autoSpaceDE w:val="0"/>
        <w:autoSpaceDN w:val="0"/>
        <w:spacing w:line="560" w:lineRule="exact"/>
        <w:ind w:firstLine="474" w:firstLineChars="15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（1）公用经费控制</w:t>
      </w:r>
    </w:p>
    <w:p w14:paraId="0B030D23">
      <w:pPr>
        <w:pStyle w:val="9"/>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公用经费控制率权重2分，得0分。</w:t>
      </w:r>
    </w:p>
    <w:p w14:paraId="29B6AB12">
      <w:pPr>
        <w:pStyle w:val="9"/>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根据区水湖局2024年度决算报表，2024年实际支出公用经费总额203,249.94元，预算安排公用经费总额203,000.00元，公用经费控制100.12%，按评价要求，该指标不得分。</w:t>
      </w:r>
    </w:p>
    <w:p w14:paraId="35C37260">
      <w:pPr>
        <w:pStyle w:val="9"/>
        <w:overflowPunct w:val="0"/>
        <w:autoSpaceDE w:val="0"/>
        <w:autoSpaceDN w:val="0"/>
        <w:spacing w:line="560" w:lineRule="exact"/>
        <w:ind w:firstLine="474" w:firstLineChars="15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（2）在职人员控制</w:t>
      </w:r>
    </w:p>
    <w:p w14:paraId="54D997CE">
      <w:pPr>
        <w:pStyle w:val="9"/>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在职人员控制率权重2分，得0分。</w:t>
      </w:r>
    </w:p>
    <w:p w14:paraId="3B00CAA5">
      <w:pPr>
        <w:pStyle w:val="9"/>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下陆区水利和湖泊局职能配置、内设机构和人员编制规定》下办文〔2019〕5号和《关于保留区农林水利服务中心(区供销社、区经营管理站)的通知》黄下机编〔2019〕35号，区水湖局核定编制数9个（含局机关行政编3个，农林水利服务中心事业编6个），根据区水湖局2024年度决算报表，2024年12月31日在职人员15人，在职人员控制率166.67%，按评价要求，该指标不得分。</w:t>
      </w:r>
    </w:p>
    <w:p w14:paraId="783F5E67">
      <w:pPr>
        <w:pStyle w:val="9"/>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（3）项目支出成本控制</w:t>
      </w:r>
    </w:p>
    <w:p w14:paraId="15C4623C">
      <w:pPr>
        <w:pStyle w:val="9"/>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①会议费控制率权重2分，得分2分，未扣分。</w:t>
      </w:r>
    </w:p>
    <w:p w14:paraId="35925182">
      <w:pPr>
        <w:pStyle w:val="9"/>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根据区水湖局2024年度决算报表，该单位未核算会议费列支金额为0，故本指标不扣分。</w:t>
      </w:r>
    </w:p>
    <w:p w14:paraId="783FC5C1">
      <w:pPr>
        <w:pStyle w:val="9"/>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w:t>
      </w:r>
      <w:r>
        <w:rPr>
          <w:rFonts w:hint="eastAsia" w:cs="仿宋"/>
          <w:highlight w:val="none"/>
          <w:lang w:val="en-US" w:eastAsia="zh-CN"/>
        </w:rPr>
        <w:t>“三公”经费</w:t>
      </w:r>
      <w:r>
        <w:rPr>
          <w:rFonts w:hint="eastAsia" w:ascii="仿宋" w:hAnsi="仿宋" w:eastAsia="仿宋" w:cs="仿宋"/>
          <w:highlight w:val="none"/>
          <w:lang w:val="en-US" w:eastAsia="zh-CN"/>
        </w:rPr>
        <w:t>变动率权重2分，得分2分，未扣分。</w:t>
      </w:r>
    </w:p>
    <w:p w14:paraId="52B37A36">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根据区水湖局2023年和2024年度决算报表，2023年度</w:t>
      </w:r>
      <w:r>
        <w:rPr>
          <w:rFonts w:hint="eastAsia" w:cs="仿宋"/>
          <w:highlight w:val="none"/>
          <w:lang w:val="en-US" w:eastAsia="zh-CN"/>
        </w:rPr>
        <w:t>“三公”经费</w:t>
      </w:r>
      <w:r>
        <w:rPr>
          <w:rFonts w:hint="eastAsia" w:ascii="仿宋" w:hAnsi="仿宋" w:eastAsia="仿宋" w:cs="仿宋"/>
          <w:highlight w:val="none"/>
          <w:lang w:val="en-US" w:eastAsia="zh-CN"/>
        </w:rPr>
        <w:t>支出3,036.00元</w:t>
      </w:r>
      <w:r>
        <w:rPr>
          <w:rFonts w:hint="eastAsia" w:cs="仿宋"/>
          <w:highlight w:val="none"/>
          <w:lang w:val="en-US" w:eastAsia="zh-CN"/>
        </w:rPr>
        <w:t>，</w:t>
      </w:r>
      <w:r>
        <w:rPr>
          <w:rFonts w:hint="eastAsia" w:ascii="仿宋" w:hAnsi="仿宋" w:eastAsia="仿宋" w:cs="仿宋"/>
          <w:highlight w:val="none"/>
          <w:lang w:val="en-US" w:eastAsia="zh-CN"/>
        </w:rPr>
        <w:t>2024年度</w:t>
      </w:r>
      <w:r>
        <w:rPr>
          <w:rFonts w:hint="eastAsia" w:cs="仿宋"/>
          <w:highlight w:val="none"/>
          <w:lang w:val="en-US" w:eastAsia="zh-CN"/>
        </w:rPr>
        <w:t>“三公”经费</w:t>
      </w:r>
      <w:r>
        <w:rPr>
          <w:rFonts w:hint="eastAsia" w:ascii="仿宋" w:hAnsi="仿宋" w:eastAsia="仿宋" w:cs="仿宋"/>
          <w:highlight w:val="none"/>
          <w:lang w:val="en-US" w:eastAsia="zh-CN"/>
        </w:rPr>
        <w:t>支出980.00元，同比减少67.72%，达到评价要求，该指标不扣分。</w:t>
      </w:r>
    </w:p>
    <w:p w14:paraId="3854BB1D">
      <w:pPr>
        <w:pStyle w:val="5"/>
        <w:spacing w:before="0" w:after="0" w:line="560" w:lineRule="exact"/>
        <w:ind w:firstLine="632" w:firstLineChars="200"/>
        <w:outlineLvl w:val="2"/>
        <w:rPr>
          <w:rFonts w:hint="default"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2.管理效率分析</w:t>
      </w:r>
      <w:bookmarkEnd w:id="18"/>
    </w:p>
    <w:p w14:paraId="259B135D">
      <w:pPr>
        <w:pStyle w:val="9"/>
        <w:overflowPunct w:val="0"/>
        <w:autoSpaceDE w:val="0"/>
        <w:autoSpaceDN w:val="0"/>
        <w:spacing w:line="560" w:lineRule="exact"/>
        <w:ind w:firstLine="630"/>
        <w:jc w:val="both"/>
        <w:rPr>
          <w:rFonts w:ascii="Times New Roman" w:hAnsi="Times New Roman"/>
          <w:highlight w:val="none"/>
          <w:lang w:val="en-US"/>
        </w:rPr>
      </w:pPr>
      <w:r>
        <w:rPr>
          <w:rFonts w:hint="eastAsia" w:ascii="Times New Roman" w:hAnsi="Times New Roman"/>
          <w:highlight w:val="none"/>
          <w:lang w:val="en-US"/>
        </w:rPr>
        <w:t>评价人员从战略管理、预算编制、预算执行、绩效管理、资产管理、财务管理等六个方面进行了评价，</w:t>
      </w:r>
      <w:r>
        <w:rPr>
          <w:rFonts w:hint="eastAsia" w:ascii="仿宋" w:hAnsi="仿宋" w:eastAsia="仿宋" w:cs="仿宋"/>
          <w:kern w:val="2"/>
          <w:sz w:val="32"/>
          <w:szCs w:val="32"/>
          <w:highlight w:val="none"/>
          <w:lang w:val="en-US" w:eastAsia="zh-CN" w:bidi="zh-CN"/>
        </w:rPr>
        <w:t>管理效率</w:t>
      </w:r>
      <w:r>
        <w:rPr>
          <w:rFonts w:hint="eastAsia" w:cs="仿宋"/>
          <w:kern w:val="2"/>
          <w:sz w:val="32"/>
          <w:szCs w:val="32"/>
          <w:highlight w:val="none"/>
          <w:lang w:val="en-US" w:eastAsia="zh-CN" w:bidi="zh-CN"/>
        </w:rPr>
        <w:t>指标</w:t>
      </w:r>
      <w:r>
        <w:rPr>
          <w:rFonts w:hint="eastAsia" w:ascii="仿宋" w:hAnsi="仿宋" w:cs="Times New Roman"/>
          <w:bCs/>
          <w:kern w:val="0"/>
          <w:szCs w:val="32"/>
          <w:highlight w:val="none"/>
          <w:lang w:val="en-US" w:eastAsia="zh-CN"/>
        </w:rPr>
        <w:t>总分</w:t>
      </w:r>
      <w:r>
        <w:rPr>
          <w:rFonts w:hint="eastAsia" w:cs="Times New Roman"/>
          <w:bCs/>
          <w:kern w:val="0"/>
          <w:szCs w:val="32"/>
          <w:highlight w:val="none"/>
          <w:lang w:val="en-US" w:eastAsia="zh-CN"/>
        </w:rPr>
        <w:t>22</w:t>
      </w:r>
      <w:r>
        <w:rPr>
          <w:rFonts w:hint="eastAsia" w:ascii="仿宋" w:hAnsi="仿宋" w:cs="Times New Roman"/>
          <w:bCs/>
          <w:kern w:val="0"/>
          <w:szCs w:val="32"/>
          <w:highlight w:val="none"/>
          <w:lang w:val="en-US" w:eastAsia="zh-CN"/>
        </w:rPr>
        <w:t>分，实际得分</w:t>
      </w:r>
      <w:r>
        <w:rPr>
          <w:rFonts w:hint="eastAsia" w:cs="Times New Roman"/>
          <w:bCs/>
          <w:kern w:val="0"/>
          <w:szCs w:val="32"/>
          <w:highlight w:val="none"/>
          <w:lang w:val="en-US" w:eastAsia="zh-CN"/>
        </w:rPr>
        <w:t>16.9</w:t>
      </w:r>
      <w:r>
        <w:rPr>
          <w:rFonts w:hint="eastAsia" w:ascii="仿宋" w:hAnsi="仿宋" w:cs="Times New Roman"/>
          <w:bCs/>
          <w:kern w:val="0"/>
          <w:szCs w:val="32"/>
          <w:highlight w:val="none"/>
          <w:lang w:val="en-US" w:eastAsia="zh-CN"/>
        </w:rPr>
        <w:t>分</w:t>
      </w:r>
      <w:r>
        <w:rPr>
          <w:rFonts w:hint="eastAsia" w:cs="Times New Roman"/>
          <w:bCs/>
          <w:kern w:val="0"/>
          <w:szCs w:val="32"/>
          <w:highlight w:val="none"/>
          <w:lang w:val="en-US" w:eastAsia="zh-CN"/>
        </w:rPr>
        <w:t>，</w:t>
      </w:r>
      <w:r>
        <w:rPr>
          <w:rFonts w:hint="eastAsia" w:ascii="仿宋" w:hAnsi="仿宋" w:eastAsia="仿宋" w:cs="仿宋"/>
          <w:kern w:val="2"/>
          <w:sz w:val="32"/>
          <w:szCs w:val="32"/>
          <w:highlight w:val="none"/>
          <w:lang w:val="en-US" w:eastAsia="zh-CN" w:bidi="zh-CN"/>
        </w:rPr>
        <w:t>具体如下</w:t>
      </w:r>
      <w:r>
        <w:rPr>
          <w:rFonts w:hint="eastAsia" w:ascii="Times New Roman" w:hAnsi="Times New Roman"/>
          <w:highlight w:val="none"/>
          <w:lang w:val="en-US"/>
        </w:rPr>
        <w:t>：</w:t>
      </w:r>
    </w:p>
    <w:p w14:paraId="4942A9BB">
      <w:pPr>
        <w:pStyle w:val="9"/>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（1）战略管理分析</w:t>
      </w:r>
    </w:p>
    <w:p w14:paraId="1D7647B2">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①中长期规划相符性权重1分，得分1分，未扣分。</w:t>
      </w:r>
    </w:p>
    <w:p w14:paraId="5DA94C8E">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水湖局《“十四五”重要工作行动计划》和《下陆区“十四五”水利发展规划》，区水湖局“十四五”规划与国家、省委省政府战略高度匹配，紧扣“节水优先、空间均衡、系统治理、两手发力”治水方针，契合生态文明建设、乡村振兴等国家战略，呼应省委绿色发展部署。从部门职能看，规划聚焦水利基础设施建设、水资源管理、水生态修复及林业生态工程，涵盖防洪安全、供水保障、生态保护等核心职责，与水利和湖泊局的职能定位完全相符，是对中长期发展目标的科学落实，体现了政策衔接性与职能履行的一致性，达到评价要求，该指标不扣分。</w:t>
      </w:r>
    </w:p>
    <w:p w14:paraId="42EADC12">
      <w:pPr>
        <w:pStyle w:val="9"/>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②工作计划健全性权重1分，得分0.5分，扣0.5分。</w:t>
      </w:r>
    </w:p>
    <w:p w14:paraId="4D603DCC">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区水湖局2024年工作计划整体框架清晰，党建、林业、水利、农业及乡村振兴等板块均紧扣国家、省委省政府战略及“十四五”规划要求，在</w:t>
      </w:r>
      <w:r>
        <w:rPr>
          <w:rFonts w:hint="eastAsia" w:cs="仿宋"/>
          <w:highlight w:val="none"/>
          <w:lang w:val="en-US" w:eastAsia="zh-CN"/>
        </w:rPr>
        <w:t>全面从严治党</w:t>
      </w:r>
      <w:r>
        <w:rPr>
          <w:rFonts w:hint="eastAsia" w:ascii="仿宋" w:hAnsi="仿宋" w:eastAsia="仿宋" w:cs="仿宋"/>
          <w:highlight w:val="none"/>
          <w:lang w:val="en-US" w:eastAsia="zh-CN"/>
        </w:rPr>
        <w:t>、生态保护、水安全保障、农业监管和区域帮扶等方面部署明确，具备较强的针对性和实操性。但计划在深度与广度上仍有提升空间，如党建与业务融合、林业产业拓展、智慧水利建设、农业科技推广及乡村振兴产业协作等方面可进一步补充，以增强计划的全面性、前瞻性，更好助力区域社会经济高质量发展。</w:t>
      </w:r>
    </w:p>
    <w:p w14:paraId="47097B60">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综上所述，工作计划健全性不够，该指扣0.5分。</w:t>
      </w:r>
    </w:p>
    <w:p w14:paraId="51CEEDBC">
      <w:pPr>
        <w:pStyle w:val="9"/>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（2）预算编制分析</w:t>
      </w:r>
    </w:p>
    <w:p w14:paraId="0A8339AA">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①预算编制科学性权重1分，得分1分，未扣分。</w:t>
      </w:r>
    </w:p>
    <w:p w14:paraId="6747E59A">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下陆区财政局关于批复2024年区直部门预算的通知》黄下财预发〔2024〕1号，区水湖局按照预算编制要求编制基本支出预算和项目支出预算，预算编制的基本信息内容真实、完整、准确，基本支出预算按照规定标准编制，项目预算测算依据充分。达到评价要求，该指标不扣分。</w:t>
      </w:r>
    </w:p>
    <w:p w14:paraId="4C4043A6">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②预算编制合理性权重1分，得分1分，未扣分。</w:t>
      </w:r>
    </w:p>
    <w:p w14:paraId="58701710">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根据《下陆区财政局关于批复2024年区直部门预算的通知》黄下财预发〔2024〕1号，项目支出预算包括部门项目支出，重点项目预算有保障；部门内部项目之间不存在交叉重复。达到评价要求，该指标不扣分。</w:t>
      </w:r>
    </w:p>
    <w:p w14:paraId="5F319FE5">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③立项规范性权重1分，得分1分，未扣分。</w:t>
      </w:r>
    </w:p>
    <w:p w14:paraId="0DD0014A">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下陆区财政局关于批复2024年区直部门预算的通知》黄下财预发〔2024〕1号，区水湖局本级项目均通过项目审批，项目设立依据充分，按照规定的程序申请设立；项目事前经过必要的可行性研究、集体决策等。达到评价要求，该指标不扣分。</w:t>
      </w:r>
    </w:p>
    <w:p w14:paraId="7FCE3956">
      <w:pPr>
        <w:pStyle w:val="9"/>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④预算调整率权重2分，不得分。</w:t>
      </w:r>
    </w:p>
    <w:p w14:paraId="257AA70F">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根据区水湖局2024年度决算报表，年初预算3,701,700.00元，全年预算数12,105,286.30，预算调整率227%。根据评分标准，预算调整率每增加1%，扣5%权重分，故本指标不得分。</w:t>
      </w:r>
    </w:p>
    <w:p w14:paraId="6D67A604">
      <w:pPr>
        <w:pStyle w:val="9"/>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（3）预算执行分析</w:t>
      </w:r>
    </w:p>
    <w:p w14:paraId="3C58D0CE">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①预算执行率权重2分，得分2分，未扣分。</w:t>
      </w:r>
    </w:p>
    <w:p w14:paraId="364F314C">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水湖局2024年度决算报表，基本支出预算执行数3,056,182.40元，调整预算数3,056,182.40元，预算执行率100%，此项得分0.6分；项目支出预算执行数9,049,103.90元，调整预算数9,049,103.90元，预算执行率100%，此项得分1.4分。达到评价要求，该指标不扣分。</w:t>
      </w:r>
    </w:p>
    <w:p w14:paraId="17230EDF">
      <w:pPr>
        <w:pStyle w:val="9"/>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②结转结余率权重1分，得分0.4分，扣0.6分。</w:t>
      </w:r>
    </w:p>
    <w:p w14:paraId="36FE47D2">
      <w:pPr>
        <w:pStyle w:val="9"/>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根据区水湖局2024年度决算报表，2024年结转结余总额699,279.15元，调整预算数12,105,286.30元，结转结余率6%。根据评分标准，结转结余率每增加1%，扣10%的权重分，按评分标准，该指标得0.4分。</w:t>
      </w:r>
    </w:p>
    <w:p w14:paraId="54160FB7">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③政府采购执行率权重1分，得分1分，未扣分。</w:t>
      </w:r>
    </w:p>
    <w:p w14:paraId="6D65C3CF">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根据《下陆区财政局关于批复2024年区直部门预算的通知》黄下财预发〔2024〕1号和区水湖局2024年度决算报表，2024年政府采购预算511,500.00元，实际执行553,699.20元，执行率108%，根据评分标准，该指标不扣分。</w:t>
      </w:r>
    </w:p>
    <w:p w14:paraId="7415BE5A">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④非税收入预算完成率权重1分，得分1分，未扣分。</w:t>
      </w:r>
    </w:p>
    <w:p w14:paraId="0134811A">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根据区水湖局2024年度决算报表，2024年非税收入实际完成数509,238.30元，2024年未制定非税收入预算，故本指标不扣分。</w:t>
      </w:r>
    </w:p>
    <w:p w14:paraId="56498667">
      <w:pPr>
        <w:pStyle w:val="9"/>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（4）绩效管理分析</w:t>
      </w:r>
    </w:p>
    <w:p w14:paraId="5DB613F4">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①事前绩效评估完成率权重1分，得分1分，未扣分。</w:t>
      </w:r>
    </w:p>
    <w:p w14:paraId="2D286A95">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根据区水湖局2024年度决算报表，2024年区水湖局重点项目均为常年性项目，且单个预算金额均</w:t>
      </w:r>
      <w:r>
        <w:rPr>
          <w:rFonts w:hint="eastAsia" w:cs="仿宋"/>
          <w:highlight w:val="none"/>
          <w:lang w:val="en-US" w:eastAsia="zh-CN"/>
        </w:rPr>
        <w:t>未</w:t>
      </w:r>
      <w:r>
        <w:rPr>
          <w:rFonts w:hint="eastAsia" w:ascii="仿宋" w:hAnsi="仿宋" w:eastAsia="仿宋" w:cs="仿宋"/>
          <w:highlight w:val="none"/>
          <w:lang w:val="en-US" w:eastAsia="zh-CN"/>
        </w:rPr>
        <w:t>超过50万元，无需开展事前绩效评估。达到评价要求，该指标不扣分。</w:t>
      </w:r>
    </w:p>
    <w:p w14:paraId="028DA209">
      <w:pPr>
        <w:pStyle w:val="9"/>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②绩效目标合理性权重1分，得分0.5分，扣0.5分。</w:t>
      </w:r>
    </w:p>
    <w:p w14:paraId="0E8DE6D3">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根据部门预算公开信息，区水湖局未制定2024年部门整体绩效，</w:t>
      </w:r>
      <w:r>
        <w:rPr>
          <w:rFonts w:hint="eastAsia" w:cs="仿宋"/>
          <w:highlight w:val="none"/>
          <w:lang w:val="en-US" w:eastAsia="zh-CN"/>
        </w:rPr>
        <w:t>根据评分标准，</w:t>
      </w:r>
      <w:r>
        <w:rPr>
          <w:rFonts w:hint="eastAsia" w:ascii="仿宋" w:hAnsi="仿宋" w:eastAsia="仿宋" w:cs="仿宋"/>
          <w:highlight w:val="none"/>
          <w:lang w:val="en-US" w:eastAsia="zh-CN"/>
        </w:rPr>
        <w:t>扣0.5分</w:t>
      </w:r>
      <w:r>
        <w:rPr>
          <w:rFonts w:hint="eastAsia" w:cs="仿宋"/>
          <w:highlight w:val="none"/>
          <w:lang w:val="en-US" w:eastAsia="zh-CN"/>
        </w:rPr>
        <w:t>。</w:t>
      </w:r>
      <w:r>
        <w:rPr>
          <w:rFonts w:hint="eastAsia" w:ascii="仿宋" w:hAnsi="仿宋" w:eastAsia="仿宋" w:cs="仿宋"/>
          <w:highlight w:val="none"/>
          <w:lang w:val="en-US" w:eastAsia="zh-CN"/>
        </w:rPr>
        <w:t>但制定了项目绩效目标，明确了绩效指标，项目绩效目标依据充分，符合客观实际。</w:t>
      </w:r>
    </w:p>
    <w:p w14:paraId="74DCDEEE">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③绩效监控开展率权重1分，扣</w:t>
      </w:r>
      <w:r>
        <w:rPr>
          <w:rFonts w:hint="eastAsia" w:cs="仿宋"/>
          <w:highlight w:val="none"/>
          <w:lang w:val="en-US" w:eastAsia="zh-CN"/>
        </w:rPr>
        <w:t>1</w:t>
      </w:r>
      <w:r>
        <w:rPr>
          <w:rFonts w:hint="eastAsia" w:ascii="仿宋" w:hAnsi="仿宋" w:eastAsia="仿宋" w:cs="仿宋"/>
          <w:highlight w:val="none"/>
          <w:lang w:val="en-US" w:eastAsia="zh-CN"/>
        </w:rPr>
        <w:t>分。</w:t>
      </w:r>
    </w:p>
    <w:p w14:paraId="58613CBB">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根据区水湖局2024年为开展事中绩效监控。根据评分标准，本指标不得分。</w:t>
      </w:r>
    </w:p>
    <w:p w14:paraId="2563BDE8">
      <w:pPr>
        <w:pStyle w:val="9"/>
        <w:overflowPunct w:val="0"/>
        <w:autoSpaceDE w:val="0"/>
        <w:autoSpaceDN w:val="0"/>
        <w:spacing w:line="560" w:lineRule="exact"/>
        <w:ind w:firstLine="63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④绩效评价覆盖率权重1分，得分0.5分，扣0.5分。</w:t>
      </w:r>
    </w:p>
    <w:p w14:paraId="7E793D4D">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根据区水湖局2024年自评材料，区水湖局对所管理的所有预算重点项目开展了绩效自评，项目绩效评价覆盖率100%，</w:t>
      </w:r>
      <w:r>
        <w:rPr>
          <w:rFonts w:hint="eastAsia" w:cs="仿宋"/>
          <w:highlight w:val="none"/>
          <w:lang w:val="en-US" w:eastAsia="zh-CN"/>
        </w:rPr>
        <w:t>但</w:t>
      </w:r>
      <w:r>
        <w:rPr>
          <w:rFonts w:hint="eastAsia" w:ascii="仿宋" w:hAnsi="仿宋" w:eastAsia="仿宋" w:cs="仿宋"/>
          <w:highlight w:val="none"/>
          <w:lang w:val="en-US" w:eastAsia="zh-CN"/>
        </w:rPr>
        <w:t>未对本部门整体开展部门自评。根据评分标准，扣0.5分，得0.5分。</w:t>
      </w:r>
    </w:p>
    <w:p w14:paraId="0C31B2E1">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⑤评价结果应用率权重1分，得分1分，未扣分。</w:t>
      </w:r>
    </w:p>
    <w:p w14:paraId="69A8179C">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根据区水湖局2024年自评材料，内部应用中，将项目自评结果反馈给院领导和</w:t>
      </w:r>
      <w:r>
        <w:rPr>
          <w:rFonts w:hint="eastAsia" w:cs="仿宋"/>
          <w:highlight w:val="none"/>
          <w:lang w:val="en-US" w:eastAsia="zh-CN"/>
        </w:rPr>
        <w:t>业务</w:t>
      </w:r>
      <w:r>
        <w:rPr>
          <w:rFonts w:hint="eastAsia" w:ascii="仿宋" w:hAnsi="仿宋" w:eastAsia="仿宋" w:cs="仿宋"/>
          <w:highlight w:val="none"/>
          <w:lang w:val="en-US" w:eastAsia="zh-CN"/>
        </w:rPr>
        <w:t>股室，业务股室据此进行经验总结、限时整改并优化资源配置和管理水平。外部应用时，及时向财政局报送自评结果。评价结果应用率100%。达到评价要求，该指标不扣分。</w:t>
      </w:r>
    </w:p>
    <w:p w14:paraId="709EAC83">
      <w:pPr>
        <w:pStyle w:val="9"/>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（5）资产管理分析</w:t>
      </w:r>
    </w:p>
    <w:p w14:paraId="124D0C90">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①资产管理制度健全性权重1分，得分1分，未扣分。</w:t>
      </w:r>
    </w:p>
    <w:p w14:paraId="30E7A43D">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水湖局资产管理制度健全完善，明确资产全生命周期管理要求。通过规范制度保障资产账与财务账精准对接，重要资产设施等账实一致，资产登记、处置等流程有章可循，形成常态化管理机制，有效提升资产管理规范化水平。达到评价要求，该指标不扣分。</w:t>
      </w:r>
    </w:p>
    <w:p w14:paraId="41948D47">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②资产管理规范性权重1分，得分1分，未扣分。</w:t>
      </w:r>
    </w:p>
    <w:p w14:paraId="2F7F4E52">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单位资产统计表等资料，区水湖局资产账与财务账核对一致，重要设备资产、办公设备等账实相符。资产购置、登记、领用全程及时建档，处置流程合规透明，定期清查盘点常态化，有效保障资产安全完整，为水利履职和项目实施提供坚实物资支撑。达到评价要求，该指标不扣分。</w:t>
      </w:r>
    </w:p>
    <w:p w14:paraId="4DF11FC3">
      <w:pPr>
        <w:pStyle w:val="9"/>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（6）财务管理分析</w:t>
      </w:r>
    </w:p>
    <w:p w14:paraId="365C58FA">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①财务管理制度健全性权重1分，得分1分，未扣分。</w:t>
      </w:r>
    </w:p>
    <w:p w14:paraId="0FCE4032">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水湖局财务管理制度健全，覆盖预算编制、资金使用、支出审批等全流程。制度明确财务岗位职责与权限，规范票据管理、资产管理衔接及内控流程，严格执行财经法规，形成闭环管理机制，保障财务活动合规高效，支撑部门履职规范运行。达到评价要求，该指标不扣分。</w:t>
      </w:r>
    </w:p>
    <w:p w14:paraId="76817BAD">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②会计核算规范性权重1分，得分1分，不扣分。</w:t>
      </w:r>
    </w:p>
    <w:p w14:paraId="6072A0EB">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通过评价小组现场核查，区水湖局财务核算符合国家财经法规和财务管理制度及专项资金管理有关规定；基础数据信息和会计信息资料是否真实、准确、完整。达到评价要求，该指标不扣分。</w:t>
      </w:r>
    </w:p>
    <w:p w14:paraId="289447FD">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③资金使用合规性权重1分，得分1分，不扣分。</w:t>
      </w:r>
    </w:p>
    <w:p w14:paraId="5B9A8EF9">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通过评价小组现场核查，区水湖局使用预算资金符合国家财经法规和财务管理制度以及有关专项资金管理办法的规定；不存在截留、挤占、挪用、虚列支出等情况；资金拨付有完整的审批程序和手续；公用经费不存在超标准支出情况，项目支出与公用经费不存在交叉重复。达到评价要求，该指标不扣分。</w:t>
      </w:r>
    </w:p>
    <w:p w14:paraId="536BCD08">
      <w:pPr>
        <w:pStyle w:val="5"/>
        <w:spacing w:before="0" w:after="0" w:line="560" w:lineRule="exact"/>
        <w:ind w:firstLine="632" w:firstLineChars="200"/>
        <w:rPr>
          <w:rFonts w:hint="default"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3.履职效能分析</w:t>
      </w:r>
    </w:p>
    <w:p w14:paraId="69A59F4B">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评价人员从林业工作、水利工作、农业工作、乡村振兴工作等四个方面进行了评价，</w:t>
      </w:r>
      <w:r>
        <w:rPr>
          <w:rFonts w:hint="eastAsia" w:ascii="仿宋" w:hAnsi="仿宋" w:eastAsia="仿宋" w:cs="仿宋"/>
          <w:kern w:val="2"/>
          <w:sz w:val="32"/>
          <w:szCs w:val="32"/>
          <w:highlight w:val="none"/>
          <w:lang w:val="en-US" w:eastAsia="zh-CN" w:bidi="zh-CN"/>
        </w:rPr>
        <w:t>履职效能</w:t>
      </w:r>
      <w:r>
        <w:rPr>
          <w:rFonts w:hint="eastAsia" w:cs="仿宋"/>
          <w:kern w:val="2"/>
          <w:sz w:val="32"/>
          <w:szCs w:val="32"/>
          <w:highlight w:val="none"/>
          <w:lang w:val="en-US" w:eastAsia="zh-CN" w:bidi="zh-CN"/>
        </w:rPr>
        <w:t>指标</w:t>
      </w:r>
      <w:r>
        <w:rPr>
          <w:rFonts w:hint="eastAsia" w:ascii="仿宋" w:hAnsi="仿宋" w:cs="Times New Roman"/>
          <w:bCs/>
          <w:kern w:val="0"/>
          <w:szCs w:val="32"/>
          <w:highlight w:val="none"/>
          <w:lang w:val="en-US" w:eastAsia="zh-CN"/>
        </w:rPr>
        <w:t>总分</w:t>
      </w:r>
      <w:r>
        <w:rPr>
          <w:rFonts w:hint="eastAsia" w:cs="Times New Roman"/>
          <w:bCs/>
          <w:kern w:val="0"/>
          <w:szCs w:val="32"/>
          <w:highlight w:val="none"/>
          <w:lang w:val="en-US" w:eastAsia="zh-CN"/>
        </w:rPr>
        <w:t>24</w:t>
      </w:r>
      <w:r>
        <w:rPr>
          <w:rFonts w:hint="eastAsia" w:ascii="仿宋" w:hAnsi="仿宋" w:cs="Times New Roman"/>
          <w:bCs/>
          <w:kern w:val="0"/>
          <w:szCs w:val="32"/>
          <w:highlight w:val="none"/>
          <w:lang w:val="en-US" w:eastAsia="zh-CN"/>
        </w:rPr>
        <w:t>分，实际得分</w:t>
      </w:r>
      <w:r>
        <w:rPr>
          <w:rFonts w:hint="eastAsia" w:cs="Times New Roman"/>
          <w:bCs/>
          <w:kern w:val="0"/>
          <w:szCs w:val="32"/>
          <w:highlight w:val="none"/>
          <w:lang w:val="en-US" w:eastAsia="zh-CN"/>
        </w:rPr>
        <w:t>24</w:t>
      </w:r>
      <w:r>
        <w:rPr>
          <w:rFonts w:hint="eastAsia" w:ascii="仿宋" w:hAnsi="仿宋" w:cs="Times New Roman"/>
          <w:bCs/>
          <w:kern w:val="0"/>
          <w:szCs w:val="32"/>
          <w:highlight w:val="none"/>
          <w:lang w:val="en-US" w:eastAsia="zh-CN"/>
        </w:rPr>
        <w:t>分</w:t>
      </w:r>
      <w:r>
        <w:rPr>
          <w:rFonts w:hint="eastAsia" w:cs="Times New Roman"/>
          <w:bCs/>
          <w:kern w:val="0"/>
          <w:szCs w:val="32"/>
          <w:highlight w:val="none"/>
          <w:lang w:val="en-US" w:eastAsia="zh-CN"/>
        </w:rPr>
        <w:t>，</w:t>
      </w:r>
      <w:r>
        <w:rPr>
          <w:rFonts w:hint="eastAsia" w:ascii="仿宋" w:hAnsi="仿宋" w:eastAsia="仿宋" w:cs="仿宋"/>
          <w:highlight w:val="none"/>
          <w:lang w:val="en-US" w:eastAsia="zh-CN"/>
        </w:rPr>
        <w:t>具体如下：</w:t>
      </w:r>
    </w:p>
    <w:p w14:paraId="11DCF5F6">
      <w:pPr>
        <w:pStyle w:val="9"/>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（1）林业工作</w:t>
      </w:r>
    </w:p>
    <w:p w14:paraId="64D49F8E">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①森林督查问题图斑开展调查率权重1分，得分1分，未扣分。</w:t>
      </w:r>
    </w:p>
    <w:p w14:paraId="4BF9E579">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水湖局严格落实国家林业要求，2024年省林业局下发的50个森林督查问题图斑均完成核查，调查率100%。其中2个违法图斑已立案查处，日常巡查发现的管山、肖家铺社区4起毁林事件，也全部完成立案查处和整改。达到评价要求，该指标不扣分。</w:t>
      </w:r>
    </w:p>
    <w:p w14:paraId="4CE53975">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②松材线虫病监测覆盖率权重1分，得分1分，未扣分。</w:t>
      </w:r>
    </w:p>
    <w:p w14:paraId="10DA29EE">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水湖局严格践行国家林业工作要求，针对松材线虫病构建全面监测体系。通过专业团队与基层护林员协作，以网格化精细管理模式，开展常规巡查与专项普查，对8000多株健康松树进行打孔注药预防，对辖区1000亩山场进行药物防治，确保辖区内松林监测覆盖率达100%，该指标不扣分。</w:t>
      </w:r>
    </w:p>
    <w:p w14:paraId="1C873C92">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③清理病（枯）死树权重1分，得分1分，未扣分。</w:t>
      </w:r>
    </w:p>
    <w:p w14:paraId="0B2B6DDB">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区水湖局扎实推进病（枯）死树清理工作。原计划清理8000棵，2024年春季，其组织专业施工队伍奔赴东方山、团城山等山场，累计清除松材线虫病疫木及冰冻雨雪灾害枯死树木达1.4万株，完成率高达175%。高效的清理工作，极大降低了病虫害传播风险，有力维护了区域森林生态健康，该指标不扣分。</w:t>
      </w:r>
    </w:p>
    <w:p w14:paraId="2660BAD5">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③林业有害生物防治面积权重1分，得分1分，未扣分。</w:t>
      </w:r>
    </w:p>
    <w:p w14:paraId="34701A47">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在林业有害生物防治工作上，区水湖局计划完成防治面积0.15万亩，实际完成0.55万亩，远超预期。通过打孔注药、以虫治虫等科学防治手段，全面覆盖松林区域，有效遏制有害生物扩散，有力保护了辖区森林资源，该指标不扣分。</w:t>
      </w:r>
    </w:p>
    <w:p w14:paraId="66E4E7CB">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③完成植树造林权重1分，得分1分，未扣分。</w:t>
      </w:r>
    </w:p>
    <w:p w14:paraId="3E10BBB1">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区水湖局积极响应国家林业工作要求，全力推进植树造林工作。2024年原计划完成260亩，</w:t>
      </w:r>
      <w:r>
        <w:rPr>
          <w:rFonts w:hint="default" w:ascii="仿宋" w:hAnsi="仿宋" w:eastAsia="仿宋" w:cs="仿宋"/>
          <w:highlight w:val="none"/>
          <w:lang w:val="en-US" w:eastAsia="zh-CN"/>
        </w:rPr>
        <w:t>2024年实际完成绿化任务265.69亩，其中山体绿化50.24亩、道路绿化32.80亩、矿山绿化182.65亩,均已完成各项建设任务</w:t>
      </w:r>
      <w:r>
        <w:rPr>
          <w:rFonts w:hint="eastAsia" w:cs="仿宋"/>
          <w:highlight w:val="none"/>
          <w:lang w:val="en-US" w:eastAsia="zh-CN"/>
        </w:rPr>
        <w:t>，</w:t>
      </w:r>
      <w:r>
        <w:rPr>
          <w:rFonts w:hint="eastAsia" w:ascii="仿宋" w:hAnsi="仿宋" w:eastAsia="仿宋" w:cs="仿宋"/>
          <w:highlight w:val="none"/>
          <w:lang w:val="en-US" w:eastAsia="zh-CN"/>
        </w:rPr>
        <w:t>超额完成任务。通过科学规划、专业种植，不仅扩大了绿化面积，还提升了区域生态环境质量，该指标不扣分。</w:t>
      </w:r>
    </w:p>
    <w:p w14:paraId="4A3453A7">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④新造林地成活率权重1分，得分1分，未扣分</w:t>
      </w:r>
    </w:p>
    <w:p w14:paraId="2A7F92EF">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区水湖局紧扣国家林业工作要求推进植树造林。计划新造林地成活率达85%以上，实际成活率</w:t>
      </w:r>
      <w:r>
        <w:rPr>
          <w:rFonts w:hint="eastAsia" w:cs="仿宋"/>
          <w:highlight w:val="none"/>
          <w:lang w:val="en-US" w:eastAsia="zh-CN"/>
        </w:rPr>
        <w:t>在87%</w:t>
      </w:r>
      <w:r>
        <w:rPr>
          <w:rFonts w:hint="eastAsia" w:ascii="仿宋" w:hAnsi="仿宋" w:eastAsia="仿宋" w:cs="仿宋"/>
          <w:highlight w:val="none"/>
          <w:lang w:val="en-US" w:eastAsia="zh-CN"/>
        </w:rPr>
        <w:t>。通过优选本地种苗、规范种植流程及加强管护，确保树木成活，有效提升区域森林覆盖率，该指标不扣分。</w:t>
      </w:r>
    </w:p>
    <w:p w14:paraId="154842FB">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⑤区级林长履职率权重1分，得分1分，未扣分</w:t>
      </w:r>
    </w:p>
    <w:p w14:paraId="1D6C6606">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高度重视林长工作，2024年初便制定相关方案明确目标与分工。按照区级林长每季度至少巡林1次的要求，2024年</w:t>
      </w:r>
      <w:r>
        <w:rPr>
          <w:rFonts w:hint="eastAsia" w:cs="仿宋"/>
          <w:highlight w:val="none"/>
          <w:lang w:val="en-US" w:eastAsia="zh-CN"/>
        </w:rPr>
        <w:t>区级</w:t>
      </w:r>
      <w:r>
        <w:rPr>
          <w:rFonts w:hint="eastAsia" w:ascii="仿宋" w:hAnsi="仿宋" w:eastAsia="仿宋" w:cs="仿宋"/>
          <w:highlight w:val="none"/>
          <w:lang w:val="en-US" w:eastAsia="zh-CN"/>
        </w:rPr>
        <w:t>、街道林长积极履职，全年开展巡林达112次，履职率100%，切实研究并推动解决56个问题，有力守护森林资源，该指标不扣分。</w:t>
      </w:r>
    </w:p>
    <w:p w14:paraId="1C22229C">
      <w:pPr>
        <w:pStyle w:val="9"/>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（2）水利工作</w:t>
      </w:r>
    </w:p>
    <w:p w14:paraId="6496690D">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①区级河湖长履职率权重2分，得分2分，未扣分。</w:t>
      </w:r>
    </w:p>
    <w:p w14:paraId="79490244">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区水湖局按区级河湖长每季度至少巡湖1次要求，今年动态调整区街两级河湖长与督导部门后，区级督导部门巡查123次，区级河湖长巡湖频次达标，履职率100%，切实解决148个河湖问题，保障全区水域生态安全，该指标不扣分。</w:t>
      </w:r>
    </w:p>
    <w:p w14:paraId="53ACEEFE">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②投入防汛抗旱力量权重2分，得分2分，未扣分。</w:t>
      </w:r>
    </w:p>
    <w:p w14:paraId="54B7DE03">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区水湖局防汛抗旱力量投入远超计划。通过动态强化人力配置，实际参与人员远超30人，区防指牵头成立应急救援避险、水山港防御等五个分指挥部，形成协同作战体系，针对道路渍水问题开展复盘整改，全力筑牢汛期安全屏障，该指标不扣分。</w:t>
      </w:r>
    </w:p>
    <w:p w14:paraId="1B27347B">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③排查水库隐患，保障大坝安全权重2分，得分2分，未扣分。</w:t>
      </w:r>
    </w:p>
    <w:p w14:paraId="49FC9F3E">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水湖局严格落实水库安全保障计划，2024年防汛期间高频次排查水库、山塘及排洪港隐患，下达16件督办函，完成风雷、江洋水库启闭机维修，连夜整改3处排洪隐患并转移受困群众，切实保障大坝运行安全，该指标不扣分。</w:t>
      </w:r>
    </w:p>
    <w:p w14:paraId="50E5F54A">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④汛期安排值班值守权重2分，得分2分，未扣分。</w:t>
      </w:r>
    </w:p>
    <w:p w14:paraId="21D5B42F">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汛期值班值守规范高效，严格执行24小时领导带班与专人值守制度，聚焦水库、山塘等重点区域，落实关键点位专人驻点值守。建立汛情信息实时报送机制，结合巡查频次加密安排值班力量，强降雨等特殊时段全天候在岗，确保隐患早发现、早处置，筑牢汛期安全防线，该指标不扣分。</w:t>
      </w:r>
    </w:p>
    <w:p w14:paraId="00E8F626">
      <w:pPr>
        <w:pStyle w:val="9"/>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（3）农业工作</w:t>
      </w:r>
    </w:p>
    <w:p w14:paraId="0437C4A2">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①外来入侵物种防控权重3分，得分3分，未扣分。</w:t>
      </w:r>
    </w:p>
    <w:p w14:paraId="6A7F3080">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区水湖局在多个湾组宣传“加拿大一枝黄花”等防治办法，在磁湖湿地等区域开展福寿螺防除宣传，发放资料3000余册。同步实施捕捞福寿螺700余斤、喷药1000余亩、清除有害植物约200平方米，防控措施有效落地，该指标不扣分。</w:t>
      </w:r>
    </w:p>
    <w:p w14:paraId="48A3E4A8">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②第三次全国土壤普查数据上报权重3分，得分3分，未扣分。</w:t>
      </w:r>
    </w:p>
    <w:p w14:paraId="76BBDA2C">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区水湖局面对28个总采样点，涵盖18个表层采样与10个剖面采样的任务，精心组织实施。目前，所有采样工作已顺利完成，且经省级严格验收合格，相关数据也已及时上传至国家平台，等待最终核验，数据上报完成度达100%，该指标不扣分。</w:t>
      </w:r>
    </w:p>
    <w:p w14:paraId="0B44F12F">
      <w:pPr>
        <w:pStyle w:val="9"/>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（4）乡村振兴工作</w:t>
      </w:r>
    </w:p>
    <w:p w14:paraId="19DD342B">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对区域协作帮扶黄冈市罗田县开展互访工作权重3分，得分3分，未扣分。</w:t>
      </w:r>
    </w:p>
    <w:p w14:paraId="77CAA1E2">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w:t>
      </w:r>
      <w:r>
        <w:rPr>
          <w:rFonts w:hint="eastAsia" w:cs="仿宋"/>
          <w:highlight w:val="none"/>
          <w:lang w:val="en-US" w:eastAsia="zh-CN"/>
        </w:rPr>
        <w:t>区水湖局</w:t>
      </w:r>
      <w:r>
        <w:rPr>
          <w:rFonts w:hint="eastAsia" w:ascii="仿宋" w:hAnsi="仿宋" w:eastAsia="仿宋" w:cs="仿宋"/>
          <w:highlight w:val="none"/>
          <w:lang w:val="en-US" w:eastAsia="zh-CN"/>
        </w:rPr>
        <w:t>积极推动区域协作帮扶黄冈市罗田县工作，落实互访任务。11月12日，下陆区党政代表团前往罗田县实地考察，双方围绕乡村振兴开展座谈交流，为深化产业合作、</w:t>
      </w:r>
      <w:r>
        <w:rPr>
          <w:rFonts w:hint="eastAsia" w:cs="仿宋"/>
          <w:highlight w:val="none"/>
          <w:lang w:val="en-US" w:eastAsia="zh-CN"/>
        </w:rPr>
        <w:t>巩固拓展脱贫攻坚成果</w:t>
      </w:r>
      <w:r>
        <w:rPr>
          <w:rFonts w:hint="eastAsia" w:ascii="仿宋" w:hAnsi="仿宋" w:eastAsia="仿宋" w:cs="仿宋"/>
          <w:highlight w:val="none"/>
          <w:lang w:val="en-US" w:eastAsia="zh-CN"/>
        </w:rPr>
        <w:t>奠定基础，有力促进了两地携手发展，该指标不扣分。</w:t>
      </w:r>
    </w:p>
    <w:p w14:paraId="0905DA1E">
      <w:pPr>
        <w:pStyle w:val="5"/>
        <w:spacing w:before="0" w:after="0" w:line="560" w:lineRule="exact"/>
        <w:ind w:firstLine="632" w:firstLineChars="200"/>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4.社会效应分析</w:t>
      </w:r>
    </w:p>
    <w:p w14:paraId="408D5BFC">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评价人员从经济效益、社会效益、生态效益等三个方面进行了评价，</w:t>
      </w:r>
      <w:r>
        <w:rPr>
          <w:rFonts w:hint="eastAsia" w:ascii="仿宋" w:hAnsi="仿宋" w:eastAsia="仿宋" w:cs="仿宋"/>
          <w:kern w:val="2"/>
          <w:sz w:val="32"/>
          <w:szCs w:val="32"/>
          <w:highlight w:val="none"/>
          <w:lang w:val="en-US" w:eastAsia="zh-CN" w:bidi="zh-CN"/>
        </w:rPr>
        <w:t>社会效应</w:t>
      </w:r>
      <w:r>
        <w:rPr>
          <w:rFonts w:hint="eastAsia" w:cs="仿宋"/>
          <w:kern w:val="2"/>
          <w:sz w:val="32"/>
          <w:szCs w:val="32"/>
          <w:highlight w:val="none"/>
          <w:lang w:val="en-US" w:eastAsia="zh-CN" w:bidi="zh-CN"/>
        </w:rPr>
        <w:t>指标</w:t>
      </w:r>
      <w:r>
        <w:rPr>
          <w:rFonts w:hint="eastAsia" w:ascii="仿宋" w:hAnsi="仿宋" w:cs="Times New Roman"/>
          <w:bCs/>
          <w:kern w:val="0"/>
          <w:szCs w:val="32"/>
          <w:highlight w:val="none"/>
          <w:lang w:val="en-US" w:eastAsia="zh-CN"/>
        </w:rPr>
        <w:t>总分</w:t>
      </w:r>
      <w:r>
        <w:rPr>
          <w:rFonts w:hint="eastAsia" w:cs="Times New Roman"/>
          <w:bCs/>
          <w:kern w:val="0"/>
          <w:szCs w:val="32"/>
          <w:highlight w:val="none"/>
          <w:lang w:val="en-US" w:eastAsia="zh-CN"/>
        </w:rPr>
        <w:t>33</w:t>
      </w:r>
      <w:r>
        <w:rPr>
          <w:rFonts w:hint="eastAsia" w:ascii="仿宋" w:hAnsi="仿宋" w:cs="Times New Roman"/>
          <w:bCs/>
          <w:kern w:val="0"/>
          <w:szCs w:val="32"/>
          <w:highlight w:val="none"/>
          <w:lang w:val="en-US" w:eastAsia="zh-CN"/>
        </w:rPr>
        <w:t>分，实际得分</w:t>
      </w:r>
      <w:r>
        <w:rPr>
          <w:rFonts w:hint="eastAsia" w:cs="Times New Roman"/>
          <w:bCs/>
          <w:kern w:val="0"/>
          <w:szCs w:val="32"/>
          <w:highlight w:val="none"/>
          <w:lang w:val="en-US" w:eastAsia="zh-CN"/>
        </w:rPr>
        <w:t>29.2</w:t>
      </w:r>
      <w:r>
        <w:rPr>
          <w:rFonts w:hint="eastAsia" w:ascii="仿宋" w:hAnsi="仿宋" w:cs="Times New Roman"/>
          <w:bCs/>
          <w:kern w:val="0"/>
          <w:szCs w:val="32"/>
          <w:highlight w:val="none"/>
          <w:lang w:val="en-US" w:eastAsia="zh-CN"/>
        </w:rPr>
        <w:t>分</w:t>
      </w:r>
      <w:r>
        <w:rPr>
          <w:rFonts w:hint="eastAsia" w:cs="Times New Roman"/>
          <w:bCs/>
          <w:kern w:val="0"/>
          <w:szCs w:val="32"/>
          <w:highlight w:val="none"/>
          <w:lang w:val="en-US" w:eastAsia="zh-CN"/>
        </w:rPr>
        <w:t>，</w:t>
      </w:r>
      <w:r>
        <w:rPr>
          <w:rFonts w:hint="eastAsia" w:ascii="仿宋" w:hAnsi="仿宋" w:eastAsia="仿宋" w:cs="仿宋"/>
          <w:highlight w:val="none"/>
          <w:lang w:val="en-US" w:eastAsia="zh-CN"/>
        </w:rPr>
        <w:t>具体如下：</w:t>
      </w:r>
    </w:p>
    <w:p w14:paraId="0A0E9709">
      <w:pPr>
        <w:pStyle w:val="9"/>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（1）经济效益分析</w:t>
      </w:r>
    </w:p>
    <w:p w14:paraId="6CC4E87E">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①水利工程建设带动相关产业产值权重3分，得分3分，未扣分。</w:t>
      </w:r>
    </w:p>
    <w:p w14:paraId="59181AC4">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w:t>
      </w:r>
      <w:r>
        <w:rPr>
          <w:rFonts w:hint="eastAsia" w:cs="仿宋"/>
          <w:highlight w:val="none"/>
          <w:lang w:val="en-US" w:eastAsia="zh-CN"/>
        </w:rPr>
        <w:t>区水湖局</w:t>
      </w:r>
      <w:r>
        <w:rPr>
          <w:rFonts w:hint="eastAsia" w:ascii="仿宋" w:hAnsi="仿宋" w:eastAsia="仿宋" w:cs="仿宋"/>
          <w:highlight w:val="none"/>
          <w:lang w:val="en-US" w:eastAsia="zh-CN"/>
        </w:rPr>
        <w:t>推进东方山生态清洁小流域、再生水利用配置等水利工程建设。这些工程带动建材供应、劳务用工等相关产业发展，通过工程投资与建设需求，推动相关产业产值提升，助力区域经济循环，该指标不扣分。</w:t>
      </w:r>
    </w:p>
    <w:p w14:paraId="0CC7A7C0">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②农业用水成本权重3分，得分3分，未扣分。</w:t>
      </w:r>
    </w:p>
    <w:p w14:paraId="627B1C5B">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w:t>
      </w:r>
      <w:r>
        <w:rPr>
          <w:rFonts w:hint="eastAsia" w:cs="仿宋"/>
          <w:highlight w:val="none"/>
          <w:lang w:val="en-US" w:eastAsia="zh-CN"/>
        </w:rPr>
        <w:t>区水湖局</w:t>
      </w:r>
      <w:r>
        <w:rPr>
          <w:rFonts w:hint="eastAsia" w:ascii="仿宋" w:hAnsi="仿宋" w:eastAsia="仿宋" w:cs="仿宋"/>
          <w:highlight w:val="none"/>
          <w:lang w:val="en-US" w:eastAsia="zh-CN"/>
        </w:rPr>
        <w:t>积极推动农业水价综合改革，安装计量设施，以此实现用水精准管控，避免水资源浪费，减少农民不必要用水开支，该指标不扣分。</w:t>
      </w:r>
    </w:p>
    <w:p w14:paraId="27FBC453">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③防汛抗旱工程减少基础设施损毁损失权重3分，得分3分，未扣分。</w:t>
      </w:r>
    </w:p>
    <w:p w14:paraId="00A761E6">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区水湖局在汛期，加强对水库、山塘、排洪港等重点区域的巡查。一旦发现诸如堤岸坍塌隐患、涵闸堵塞等问题，立即下达督办函，组织力量及时处置，将可能对周边基础设施造成破坏的风险扼杀在萌芽状态，切实减少了因防汛抗旱不力导致的基础设施损毁损失，该指标不扣分。</w:t>
      </w:r>
    </w:p>
    <w:p w14:paraId="30635B72">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④林业碳汇量年增长权重3分，得分3分，未扣分。</w:t>
      </w:r>
    </w:p>
    <w:p w14:paraId="6EB7E24E">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根据全国森林生态系统平均碳汇能力（约1.5吨CO₂/亩・年），结合下陆区2024年新增造林315亩及森林抚育情况，可初步估算当年新增碳汇量约</w:t>
      </w:r>
      <w:r>
        <w:rPr>
          <w:rFonts w:hint="default" w:ascii="仿宋" w:hAnsi="仿宋" w:eastAsia="仿宋" w:cs="仿宋"/>
          <w:highlight w:val="none"/>
          <w:lang w:val="en-US" w:eastAsia="zh-CN"/>
        </w:rPr>
        <w:t>1972.5吨CO₂</w:t>
      </w:r>
      <w:r>
        <w:rPr>
          <w:rFonts w:hint="eastAsia" w:ascii="仿宋" w:hAnsi="仿宋" w:eastAsia="仿宋" w:cs="仿宋"/>
          <w:highlight w:val="none"/>
          <w:lang w:val="en-US" w:eastAsia="zh-CN"/>
        </w:rPr>
        <w:t>，根据评分标准，该指标不扣分。</w:t>
      </w:r>
    </w:p>
    <w:p w14:paraId="630517A5">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⑤土壤普查助力农业增产权重3分，得分3分，未扣分。</w:t>
      </w:r>
    </w:p>
    <w:p w14:paraId="728066C2">
      <w:pPr>
        <w:pStyle w:val="9"/>
        <w:overflowPunct w:val="0"/>
        <w:autoSpaceDE w:val="0"/>
        <w:autoSpaceDN w:val="0"/>
        <w:spacing w:line="560" w:lineRule="exact"/>
        <w:ind w:firstLine="630"/>
        <w:jc w:val="left"/>
        <w:rPr>
          <w:rFonts w:hint="eastAsia" w:ascii="Times New Roman" w:hAnsi="Times New Roman"/>
          <w:highlight w:val="none"/>
          <w:lang w:val="en-US" w:eastAsia="zh-CN"/>
        </w:rPr>
      </w:pPr>
      <w:r>
        <w:rPr>
          <w:rFonts w:hint="eastAsia" w:ascii="仿宋" w:hAnsi="仿宋" w:eastAsia="仿宋" w:cs="仿宋"/>
          <w:highlight w:val="none"/>
          <w:lang w:val="en-US" w:eastAsia="zh-CN"/>
        </w:rPr>
        <w:t>区水湖局完成第三次全国土壤普查，28个采样点数据通过省级验收并上传国家平台。基于这些数据，对区域内土壤的养分状况、酸碱度、质地等有了精准掌握。经分析，针对性指导农户调整施肥方案后，部分农田化肥使用量降低约10%</w:t>
      </w:r>
      <w:r>
        <w:rPr>
          <w:rFonts w:hint="eastAsia" w:cs="仿宋"/>
          <w:highlight w:val="none"/>
          <w:lang w:val="en-US" w:eastAsia="zh-CN"/>
        </w:rPr>
        <w:t>～</w:t>
      </w:r>
      <w:r>
        <w:rPr>
          <w:rFonts w:hint="eastAsia" w:ascii="仿宋" w:hAnsi="仿宋" w:eastAsia="仿宋" w:cs="仿宋"/>
          <w:highlight w:val="none"/>
          <w:lang w:val="en-US" w:eastAsia="zh-CN"/>
        </w:rPr>
        <w:t>15%，农作物产量却实现了5%</w:t>
      </w:r>
      <w:r>
        <w:rPr>
          <w:rFonts w:hint="eastAsia" w:cs="仿宋"/>
          <w:highlight w:val="none"/>
          <w:lang w:val="en-US" w:eastAsia="zh-CN"/>
        </w:rPr>
        <w:t>～</w:t>
      </w:r>
      <w:r>
        <w:rPr>
          <w:rFonts w:hint="eastAsia" w:ascii="仿宋" w:hAnsi="仿宋" w:eastAsia="仿宋" w:cs="仿宋"/>
          <w:highlight w:val="none"/>
          <w:lang w:val="en-US" w:eastAsia="zh-CN"/>
        </w:rPr>
        <w:t>8%的增长。土壤普查成果切实为精准施肥、改良土壤提供依据，有力提升农业产量，根据评分标准，该指标不扣分。</w:t>
      </w:r>
    </w:p>
    <w:p w14:paraId="1F71B107">
      <w:pPr>
        <w:pStyle w:val="9"/>
        <w:overflowPunct w:val="0"/>
        <w:autoSpaceDE w:val="0"/>
        <w:autoSpaceDN w:val="0"/>
        <w:spacing w:line="560" w:lineRule="exact"/>
        <w:ind w:firstLine="474" w:firstLineChars="15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（2）社会效益分析</w:t>
      </w:r>
    </w:p>
    <w:p w14:paraId="67A11DF3">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①创造短</w:t>
      </w:r>
      <w:r>
        <w:rPr>
          <w:rFonts w:hint="eastAsia" w:cs="仿宋"/>
          <w:highlight w:val="none"/>
          <w:lang w:val="en-US" w:eastAsia="zh-CN"/>
        </w:rPr>
        <w:t>期就</w:t>
      </w:r>
      <w:r>
        <w:rPr>
          <w:rFonts w:hint="eastAsia" w:ascii="仿宋" w:hAnsi="仿宋" w:eastAsia="仿宋" w:cs="仿宋"/>
          <w:highlight w:val="none"/>
          <w:lang w:val="en-US" w:eastAsia="zh-CN"/>
        </w:rPr>
        <w:t>业岗位权重2分，得分2分，未扣分。</w:t>
      </w:r>
    </w:p>
    <w:p w14:paraId="2B06ED43">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cs="仿宋"/>
          <w:highlight w:val="none"/>
          <w:lang w:val="en-US" w:eastAsia="zh-CN"/>
        </w:rPr>
        <w:t>区水湖局</w:t>
      </w:r>
      <w:r>
        <w:rPr>
          <w:rFonts w:hint="eastAsia" w:ascii="仿宋" w:hAnsi="仿宋" w:eastAsia="仿宋" w:cs="仿宋"/>
          <w:highlight w:val="none"/>
          <w:lang w:val="en-US" w:eastAsia="zh-CN"/>
        </w:rPr>
        <w:t>在履行职责过程中，为创造短期就业岗位作出贡献。水利项目建设如园门水库除险加固、东方山生态清洁小流域二期等，施工期间吸纳周边劳动力参与，提供超百个临时施工岗位，涵盖挖掘、运输、砌筑等工种，有效带动短期就业，该指标不扣分。</w:t>
      </w:r>
    </w:p>
    <w:p w14:paraId="43C8F217">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②长期管护岗位权重</w:t>
      </w:r>
      <w:r>
        <w:rPr>
          <w:rFonts w:hint="eastAsia" w:cs="仿宋"/>
          <w:highlight w:val="none"/>
          <w:lang w:val="en-US" w:eastAsia="zh-CN"/>
        </w:rPr>
        <w:t>2</w:t>
      </w:r>
      <w:r>
        <w:rPr>
          <w:rFonts w:hint="eastAsia" w:ascii="仿宋" w:hAnsi="仿宋" w:eastAsia="仿宋" w:cs="仿宋"/>
          <w:highlight w:val="none"/>
          <w:lang w:val="en-US" w:eastAsia="zh-CN"/>
        </w:rPr>
        <w:t>分，得分</w:t>
      </w:r>
      <w:r>
        <w:rPr>
          <w:rFonts w:hint="eastAsia" w:cs="仿宋"/>
          <w:highlight w:val="none"/>
          <w:lang w:val="en-US" w:eastAsia="zh-CN"/>
        </w:rPr>
        <w:t>2</w:t>
      </w:r>
      <w:r>
        <w:rPr>
          <w:rFonts w:hint="eastAsia" w:ascii="仿宋" w:hAnsi="仿宋" w:eastAsia="仿宋" w:cs="仿宋"/>
          <w:highlight w:val="none"/>
          <w:lang w:val="en-US" w:eastAsia="zh-CN"/>
        </w:rPr>
        <w:t>分，未扣分。</w:t>
      </w:r>
    </w:p>
    <w:p w14:paraId="0EFC3287">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通过建立河湖水域岸线清理管护及水面清漂拦漂管理制度，招聘多名人员专职负责河湖日常管护。针对古树名木，设立常态化管护机制，安排专业养护员对7株一级古树开展复壮救治与跟踪管理，带动长期就业，该指标不扣分。</w:t>
      </w:r>
    </w:p>
    <w:p w14:paraId="7C2B142B">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③发森林火灾发生率权重</w:t>
      </w:r>
      <w:r>
        <w:rPr>
          <w:rFonts w:hint="eastAsia" w:cs="仿宋"/>
          <w:highlight w:val="none"/>
          <w:lang w:val="en-US" w:eastAsia="zh-CN"/>
        </w:rPr>
        <w:t>2</w:t>
      </w:r>
      <w:r>
        <w:rPr>
          <w:rFonts w:hint="eastAsia" w:ascii="仿宋" w:hAnsi="仿宋" w:eastAsia="仿宋" w:cs="仿宋"/>
          <w:highlight w:val="none"/>
          <w:lang w:val="en-US" w:eastAsia="zh-CN"/>
        </w:rPr>
        <w:t>分，得分</w:t>
      </w:r>
      <w:r>
        <w:rPr>
          <w:rFonts w:hint="eastAsia" w:cs="仿宋"/>
          <w:highlight w:val="none"/>
          <w:lang w:val="en-US" w:eastAsia="zh-CN"/>
        </w:rPr>
        <w:t>2</w:t>
      </w:r>
      <w:r>
        <w:rPr>
          <w:rFonts w:hint="eastAsia" w:ascii="仿宋" w:hAnsi="仿宋" w:eastAsia="仿宋" w:cs="仿宋"/>
          <w:highlight w:val="none"/>
          <w:lang w:val="en-US" w:eastAsia="zh-CN"/>
        </w:rPr>
        <w:t>分，未扣分。</w:t>
      </w:r>
    </w:p>
    <w:p w14:paraId="1BB1BF7E">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w:t>
      </w:r>
      <w:r>
        <w:rPr>
          <w:rFonts w:hint="eastAsia" w:cs="仿宋"/>
          <w:highlight w:val="none"/>
          <w:lang w:val="en-US" w:eastAsia="zh-CN"/>
        </w:rPr>
        <w:t>区水湖局</w:t>
      </w:r>
      <w:r>
        <w:rPr>
          <w:rFonts w:hint="eastAsia" w:ascii="仿宋" w:hAnsi="仿宋" w:eastAsia="仿宋" w:cs="仿宋"/>
          <w:highlight w:val="none"/>
          <w:lang w:val="en-US" w:eastAsia="zh-CN"/>
        </w:rPr>
        <w:t>积极履行森林防火相关职责，成效显著。截至年底，全区未发生森林火灾，该指标不扣分。</w:t>
      </w:r>
    </w:p>
    <w:p w14:paraId="0D0C00A5">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④公众对林业生态保护知晓率权重</w:t>
      </w:r>
      <w:r>
        <w:rPr>
          <w:rFonts w:hint="eastAsia" w:cs="仿宋"/>
          <w:highlight w:val="none"/>
          <w:lang w:val="en-US" w:eastAsia="zh-CN"/>
        </w:rPr>
        <w:t>2</w:t>
      </w:r>
      <w:r>
        <w:rPr>
          <w:rFonts w:hint="eastAsia" w:ascii="仿宋" w:hAnsi="仿宋" w:eastAsia="仿宋" w:cs="仿宋"/>
          <w:highlight w:val="none"/>
          <w:lang w:val="en-US" w:eastAsia="zh-CN"/>
        </w:rPr>
        <w:t>分，得分</w:t>
      </w:r>
      <w:r>
        <w:rPr>
          <w:rFonts w:hint="eastAsia" w:cs="仿宋"/>
          <w:highlight w:val="none"/>
          <w:lang w:val="en-US" w:eastAsia="zh-CN"/>
        </w:rPr>
        <w:t>2</w:t>
      </w:r>
      <w:r>
        <w:rPr>
          <w:rFonts w:hint="eastAsia" w:ascii="仿宋" w:hAnsi="仿宋" w:eastAsia="仿宋" w:cs="仿宋"/>
          <w:highlight w:val="none"/>
          <w:lang w:val="en-US" w:eastAsia="zh-CN"/>
        </w:rPr>
        <w:t>分，未扣分。</w:t>
      </w:r>
    </w:p>
    <w:p w14:paraId="20817271">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cs="仿宋"/>
          <w:highlight w:val="none"/>
          <w:lang w:val="en-US" w:eastAsia="zh-CN"/>
        </w:rPr>
        <w:t>2024年区水湖局</w:t>
      </w:r>
      <w:r>
        <w:rPr>
          <w:rFonts w:hint="eastAsia" w:ascii="仿宋" w:hAnsi="仿宋" w:eastAsia="仿宋" w:cs="仿宋"/>
          <w:highlight w:val="none"/>
          <w:lang w:val="en-US" w:eastAsia="zh-CN"/>
        </w:rPr>
        <w:t>充分履职，积极提升公众对林业生态保护知晓率。通过联合多部门开展活动，如11月的“保护野生动物宣传月”及“湿地保护宣传周”，以悬挂横幅、发放资料等形式普及知识。经问卷调查，公众对林业生态保护知晓率已达98%，该指标不扣分。</w:t>
      </w:r>
    </w:p>
    <w:p w14:paraId="21100AE1">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⑤农村饮水安全达标率权重</w:t>
      </w:r>
      <w:r>
        <w:rPr>
          <w:rFonts w:hint="eastAsia" w:cs="仿宋"/>
          <w:highlight w:val="none"/>
          <w:lang w:val="en-US" w:eastAsia="zh-CN"/>
        </w:rPr>
        <w:t>2</w:t>
      </w:r>
      <w:r>
        <w:rPr>
          <w:rFonts w:hint="eastAsia" w:ascii="仿宋" w:hAnsi="仿宋" w:eastAsia="仿宋" w:cs="仿宋"/>
          <w:highlight w:val="none"/>
          <w:lang w:val="en-US" w:eastAsia="zh-CN"/>
        </w:rPr>
        <w:t>分，得分</w:t>
      </w:r>
      <w:r>
        <w:rPr>
          <w:rFonts w:hint="eastAsia" w:cs="仿宋"/>
          <w:highlight w:val="none"/>
          <w:lang w:val="en-US" w:eastAsia="zh-CN"/>
        </w:rPr>
        <w:t>2</w:t>
      </w:r>
      <w:r>
        <w:rPr>
          <w:rFonts w:hint="eastAsia" w:ascii="仿宋" w:hAnsi="仿宋" w:eastAsia="仿宋" w:cs="仿宋"/>
          <w:highlight w:val="none"/>
          <w:lang w:val="en-US" w:eastAsia="zh-CN"/>
        </w:rPr>
        <w:t>分，未扣分。</w:t>
      </w:r>
    </w:p>
    <w:p w14:paraId="7F7E2B8E">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通过积极推进相关工程建设，对老旧管网进行改造升级，有效解决管网漏损等问题。经全面检测评估，2024年下陆区农村饮水安全达标率达100%，切实保障了农村居民的用水质量与安全，根据评分标准，本指标不扣分。</w:t>
      </w:r>
    </w:p>
    <w:p w14:paraId="2C6584C0">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⑥农产品质量安全抽检合格率权重</w:t>
      </w:r>
      <w:r>
        <w:rPr>
          <w:rFonts w:hint="eastAsia" w:cs="仿宋"/>
          <w:highlight w:val="none"/>
          <w:lang w:val="en-US" w:eastAsia="zh-CN"/>
        </w:rPr>
        <w:t>2</w:t>
      </w:r>
      <w:r>
        <w:rPr>
          <w:rFonts w:hint="eastAsia" w:ascii="仿宋" w:hAnsi="仿宋" w:eastAsia="仿宋" w:cs="仿宋"/>
          <w:highlight w:val="none"/>
          <w:lang w:val="en-US" w:eastAsia="zh-CN"/>
        </w:rPr>
        <w:t>分，得分</w:t>
      </w:r>
      <w:r>
        <w:rPr>
          <w:rFonts w:hint="eastAsia" w:cs="仿宋"/>
          <w:highlight w:val="none"/>
          <w:lang w:val="en-US" w:eastAsia="zh-CN"/>
        </w:rPr>
        <w:t>2</w:t>
      </w:r>
      <w:r>
        <w:rPr>
          <w:rFonts w:hint="eastAsia" w:ascii="仿宋" w:hAnsi="仿宋" w:eastAsia="仿宋" w:cs="仿宋"/>
          <w:highlight w:val="none"/>
          <w:lang w:val="en-US" w:eastAsia="zh-CN"/>
        </w:rPr>
        <w:t>分，未扣分。</w:t>
      </w:r>
    </w:p>
    <w:p w14:paraId="6A9EE3B5">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w:t>
      </w:r>
      <w:r>
        <w:rPr>
          <w:rFonts w:hint="eastAsia" w:cs="仿宋"/>
          <w:highlight w:val="none"/>
          <w:lang w:val="en-US" w:eastAsia="zh-CN"/>
        </w:rPr>
        <w:t>区水湖局</w:t>
      </w:r>
      <w:r>
        <w:rPr>
          <w:rFonts w:hint="eastAsia" w:ascii="仿宋" w:hAnsi="仿宋" w:eastAsia="仿宋" w:cs="仿宋"/>
          <w:highlight w:val="none"/>
          <w:lang w:val="en-US" w:eastAsia="zh-CN"/>
        </w:rPr>
        <w:t>协同有关部门，大力开展农产品质量安全抽检工作。区本级任务抽检215批次，省转移任务抽检113批次，全区食用农产品快检达7333批次。经严格检测，农产品质量安全抽检合格率≥95%</w:t>
      </w:r>
      <w:r>
        <w:rPr>
          <w:rFonts w:hint="eastAsia" w:cs="仿宋"/>
          <w:highlight w:val="none"/>
          <w:lang w:val="en-US" w:eastAsia="zh-CN"/>
        </w:rPr>
        <w:t>，</w:t>
      </w:r>
      <w:r>
        <w:rPr>
          <w:rFonts w:hint="eastAsia" w:ascii="仿宋" w:hAnsi="仿宋" w:eastAsia="仿宋" w:cs="仿宋"/>
          <w:highlight w:val="none"/>
          <w:lang w:val="en-US" w:eastAsia="zh-CN"/>
        </w:rPr>
        <w:t>根据评分标准，本指标不扣分。</w:t>
      </w:r>
    </w:p>
    <w:p w14:paraId="2659F447">
      <w:pPr>
        <w:pStyle w:val="9"/>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（3）生态效益分析</w:t>
      </w:r>
    </w:p>
    <w:p w14:paraId="63FD0DD9">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①森林覆盖率权重3分，得分0.2分，扣</w:t>
      </w:r>
      <w:r>
        <w:rPr>
          <w:rFonts w:hint="eastAsia" w:cs="仿宋"/>
          <w:highlight w:val="none"/>
          <w:lang w:val="en-US" w:eastAsia="zh-CN"/>
        </w:rPr>
        <w:t>2</w:t>
      </w:r>
      <w:r>
        <w:rPr>
          <w:rFonts w:hint="eastAsia" w:ascii="仿宋" w:hAnsi="仿宋" w:eastAsia="仿宋" w:cs="仿宋"/>
          <w:highlight w:val="none"/>
          <w:lang w:val="en-US" w:eastAsia="zh-CN"/>
        </w:rPr>
        <w:t>.8分。</w:t>
      </w:r>
    </w:p>
    <w:p w14:paraId="7E0937A9">
      <w:pPr>
        <w:pStyle w:val="9"/>
        <w:overflowPunct w:val="0"/>
        <w:autoSpaceDE w:val="0"/>
        <w:autoSpaceDN w:val="0"/>
        <w:spacing w:line="560" w:lineRule="exact"/>
        <w:ind w:firstLine="630"/>
        <w:jc w:val="left"/>
        <w:rPr>
          <w:rFonts w:hint="default" w:ascii="仿宋" w:hAnsi="仿宋" w:eastAsia="仿宋" w:cs="仿宋"/>
          <w:highlight w:val="none"/>
          <w:lang w:val="en-US" w:eastAsia="zh-CN"/>
        </w:rPr>
      </w:pPr>
      <w:r>
        <w:rPr>
          <w:rFonts w:hint="eastAsia" w:ascii="仿宋" w:hAnsi="仿宋" w:eastAsia="仿宋" w:cs="仿宋"/>
          <w:highlight w:val="none"/>
          <w:lang w:val="en-US" w:eastAsia="zh-CN"/>
        </w:rPr>
        <w:t>2024年黄石市下陆区森林覆盖率目标为26.2%，实际26.06%，根据评分标准，本指标扣2.8分，得0.2分</w:t>
      </w:r>
    </w:p>
    <w:p w14:paraId="42A95BEF">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②水资源防治权重3分，得分2分，扣1分。</w:t>
      </w:r>
    </w:p>
    <w:p w14:paraId="7638BE4E">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2024年，下陆区磁湖通过加强周边日常巡查，水质稳定。对磁湖5个断面定期检测，依“一湖一策”开展提升行动，目前磁湖水质稳定保持在Ⅳ类，与2023年持平，按评分标准，该指标得2分。</w:t>
      </w:r>
    </w:p>
    <w:p w14:paraId="79E9B869">
      <w:pPr>
        <w:pStyle w:val="5"/>
        <w:spacing w:before="0" w:after="0" w:line="560" w:lineRule="exact"/>
        <w:ind w:firstLine="632" w:firstLineChars="200"/>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5.可持续发展能力分析</w:t>
      </w:r>
    </w:p>
    <w:p w14:paraId="16547A93">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评价人员从体制机制改革、人才支撑、科技支撑等三个方面进行了评价，</w:t>
      </w:r>
      <w:r>
        <w:rPr>
          <w:rFonts w:hint="eastAsia" w:ascii="仿宋" w:hAnsi="仿宋" w:eastAsia="仿宋" w:cs="仿宋"/>
          <w:kern w:val="2"/>
          <w:sz w:val="32"/>
          <w:szCs w:val="32"/>
          <w:highlight w:val="none"/>
          <w:lang w:val="en-US" w:eastAsia="zh-CN" w:bidi="zh-CN"/>
        </w:rPr>
        <w:t>可持续发展能力</w:t>
      </w:r>
      <w:r>
        <w:rPr>
          <w:rFonts w:hint="eastAsia" w:cs="仿宋"/>
          <w:kern w:val="2"/>
          <w:sz w:val="32"/>
          <w:szCs w:val="32"/>
          <w:highlight w:val="none"/>
          <w:lang w:val="en-US" w:eastAsia="zh-CN" w:bidi="zh-CN"/>
        </w:rPr>
        <w:t>指标</w:t>
      </w:r>
      <w:r>
        <w:rPr>
          <w:rFonts w:hint="eastAsia" w:ascii="仿宋" w:hAnsi="仿宋" w:cs="Times New Roman"/>
          <w:bCs/>
          <w:kern w:val="0"/>
          <w:szCs w:val="32"/>
          <w:highlight w:val="none"/>
          <w:lang w:val="en-US" w:eastAsia="zh-CN"/>
        </w:rPr>
        <w:t>总分</w:t>
      </w:r>
      <w:r>
        <w:rPr>
          <w:rFonts w:hint="eastAsia" w:cs="Times New Roman"/>
          <w:bCs/>
          <w:kern w:val="0"/>
          <w:szCs w:val="32"/>
          <w:highlight w:val="none"/>
          <w:lang w:val="en-US" w:eastAsia="zh-CN"/>
        </w:rPr>
        <w:t>7</w:t>
      </w:r>
      <w:r>
        <w:rPr>
          <w:rFonts w:hint="eastAsia" w:ascii="仿宋" w:hAnsi="仿宋" w:cs="Times New Roman"/>
          <w:bCs/>
          <w:kern w:val="0"/>
          <w:szCs w:val="32"/>
          <w:highlight w:val="none"/>
          <w:lang w:val="en-US" w:eastAsia="zh-CN"/>
        </w:rPr>
        <w:t>分，实际得分</w:t>
      </w:r>
      <w:r>
        <w:rPr>
          <w:rFonts w:hint="eastAsia" w:cs="Times New Roman"/>
          <w:bCs/>
          <w:kern w:val="0"/>
          <w:szCs w:val="32"/>
          <w:highlight w:val="none"/>
          <w:lang w:val="en-US" w:eastAsia="zh-CN"/>
        </w:rPr>
        <w:t>6.5</w:t>
      </w:r>
      <w:r>
        <w:rPr>
          <w:rFonts w:hint="eastAsia" w:ascii="仿宋" w:hAnsi="仿宋" w:cs="Times New Roman"/>
          <w:bCs/>
          <w:kern w:val="0"/>
          <w:szCs w:val="32"/>
          <w:highlight w:val="none"/>
          <w:lang w:val="en-US" w:eastAsia="zh-CN"/>
        </w:rPr>
        <w:t>分</w:t>
      </w:r>
      <w:r>
        <w:rPr>
          <w:rFonts w:hint="eastAsia" w:cs="Times New Roman"/>
          <w:bCs/>
          <w:kern w:val="0"/>
          <w:szCs w:val="32"/>
          <w:highlight w:val="none"/>
          <w:lang w:val="en-US" w:eastAsia="zh-CN"/>
        </w:rPr>
        <w:t>，</w:t>
      </w:r>
      <w:r>
        <w:rPr>
          <w:rFonts w:hint="eastAsia" w:ascii="仿宋" w:hAnsi="仿宋" w:eastAsia="仿宋" w:cs="仿宋"/>
          <w:highlight w:val="none"/>
          <w:lang w:val="en-US" w:eastAsia="zh-CN"/>
        </w:rPr>
        <w:t>具体如下：</w:t>
      </w:r>
    </w:p>
    <w:p w14:paraId="41EF1891">
      <w:pPr>
        <w:pStyle w:val="9"/>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（1）体制机制改革分析</w:t>
      </w:r>
    </w:p>
    <w:p w14:paraId="0C8E513D">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①服务体制改革成效权重1分，得分1分，未扣分。</w:t>
      </w:r>
    </w:p>
    <w:p w14:paraId="1F65AF69">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依托河湖长制深化服务改革，续聘15</w:t>
      </w:r>
      <w:r>
        <w:rPr>
          <w:rFonts w:hint="eastAsia" w:cs="仿宋"/>
          <w:highlight w:val="none"/>
          <w:lang w:val="en-US" w:eastAsia="zh-CN"/>
        </w:rPr>
        <w:t>名</w:t>
      </w:r>
      <w:r>
        <w:rPr>
          <w:rFonts w:hint="eastAsia" w:ascii="仿宋" w:hAnsi="仿宋" w:eastAsia="仿宋" w:cs="仿宋"/>
          <w:highlight w:val="none"/>
          <w:lang w:val="en-US" w:eastAsia="zh-CN"/>
        </w:rPr>
        <w:t>民间河湖长，组织80余人次开展“清四乱”志愿活动，发放宣传册1000余份。构建“官方+民间”共治模式，全年解决148个河湖问题，提升公众参与度与服务效能。</w:t>
      </w:r>
    </w:p>
    <w:p w14:paraId="0DDC23A1">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②行政管理体制改革成效权重1分，得分1分，未扣分。</w:t>
      </w:r>
    </w:p>
    <w:p w14:paraId="514F96F4">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强化依法行政，推行行政执法“三项制度”，完善决策与监督机制。深化河湖长责任落实，明确区街两级职责，区级督导巡查123次、街道级巡湖176次，高效处置河湖问题，行政管理规范化水平提升。达到评价要求，该指标不扣分。</w:t>
      </w:r>
    </w:p>
    <w:p w14:paraId="755EE2B5">
      <w:pPr>
        <w:pStyle w:val="9"/>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（2）人才支撑分析</w:t>
      </w:r>
    </w:p>
    <w:p w14:paraId="542C3250">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①业务学习与培训完成率权重1分，得分1分，未扣分。</w:t>
      </w:r>
    </w:p>
    <w:p w14:paraId="78700F89">
      <w:pPr>
        <w:pStyle w:val="9"/>
        <w:overflowPunct w:val="0"/>
        <w:autoSpaceDE w:val="0"/>
        <w:autoSpaceDN w:val="0"/>
        <w:spacing w:line="560" w:lineRule="exact"/>
        <w:ind w:firstLine="630"/>
        <w:jc w:val="left"/>
        <w:rPr>
          <w:rFonts w:hint="eastAsia" w:cs="仿宋"/>
          <w:highlight w:val="none"/>
          <w:lang w:val="en-US" w:eastAsia="zh-CN"/>
        </w:rPr>
      </w:pPr>
      <w:r>
        <w:rPr>
          <w:rFonts w:hint="eastAsia" w:ascii="仿宋" w:hAnsi="仿宋" w:eastAsia="仿宋" w:cs="仿宋"/>
          <w:highlight w:val="none"/>
          <w:lang w:val="en-US" w:eastAsia="zh-CN"/>
        </w:rPr>
        <w:t>2024年，区水湖局积极开展业务学习与培训工作。全年组织干部职工通过工作例会、集体学习等形式强化理论知识。此外，积极安排人员参加行政执法、农村水管员、河湖长制等各类培训</w:t>
      </w:r>
      <w:r>
        <w:rPr>
          <w:rFonts w:hint="eastAsia" w:cs="仿宋"/>
          <w:highlight w:val="none"/>
          <w:lang w:val="en-US" w:eastAsia="zh-CN"/>
        </w:rPr>
        <w:t>，</w:t>
      </w:r>
      <w:r>
        <w:rPr>
          <w:rFonts w:hint="eastAsia" w:ascii="仿宋" w:hAnsi="仿宋" w:eastAsia="仿宋" w:cs="仿宋"/>
          <w:highlight w:val="none"/>
          <w:lang w:val="en-US" w:eastAsia="zh-CN"/>
        </w:rPr>
        <w:t>涵盖多领域业务。整体来看，区水湖局业务学习与培训完成情况良好，有力提升了干部职工业务水平与依法行政能力</w:t>
      </w:r>
      <w:r>
        <w:rPr>
          <w:rFonts w:hint="eastAsia" w:cs="仿宋"/>
          <w:highlight w:val="none"/>
          <w:lang w:val="en-US" w:eastAsia="zh-CN"/>
        </w:rPr>
        <w:t>。达到评价要求，该指标不扣分。</w:t>
      </w:r>
    </w:p>
    <w:p w14:paraId="2A179E43">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②干部队伍体系建设规划情况权重1分，得分1分，未扣分。</w:t>
      </w:r>
    </w:p>
    <w:p w14:paraId="671F3A97">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成立“三资”整治等专项小组，明确职责强化责任。接收2名罗田专技人才挂职，选派干部赴基层帮扶，通过实践锻炼与人才交流，打造政治高、业务强、责任重的干部队伍，适应工作发展需求。达到评价要求，该指标不扣分。</w:t>
      </w:r>
    </w:p>
    <w:p w14:paraId="3417B349">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③高学历、高层次人才储备率权重1分，得分</w:t>
      </w:r>
      <w:r>
        <w:rPr>
          <w:rFonts w:hint="eastAsia" w:cs="仿宋"/>
          <w:highlight w:val="none"/>
          <w:lang w:val="en-US" w:eastAsia="zh-CN"/>
        </w:rPr>
        <w:t>0.5</w:t>
      </w:r>
      <w:r>
        <w:rPr>
          <w:rFonts w:hint="eastAsia" w:ascii="仿宋" w:hAnsi="仿宋" w:eastAsia="仿宋" w:cs="仿宋"/>
          <w:highlight w:val="none"/>
          <w:lang w:val="en-US" w:eastAsia="zh-CN"/>
        </w:rPr>
        <w:t>分，扣</w:t>
      </w:r>
      <w:r>
        <w:rPr>
          <w:rFonts w:hint="eastAsia" w:cs="仿宋"/>
          <w:highlight w:val="none"/>
          <w:lang w:val="en-US" w:eastAsia="zh-CN"/>
        </w:rPr>
        <w:t>0.5</w:t>
      </w:r>
      <w:r>
        <w:rPr>
          <w:rFonts w:hint="eastAsia" w:ascii="仿宋" w:hAnsi="仿宋" w:eastAsia="仿宋" w:cs="仿宋"/>
          <w:highlight w:val="none"/>
          <w:lang w:val="en-US" w:eastAsia="zh-CN"/>
        </w:rPr>
        <w:t>分。</w:t>
      </w:r>
    </w:p>
    <w:p w14:paraId="0C45B7BD">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目前区水湖局正在加强内部培训与交流，推动现有人员素质提升。</w:t>
      </w:r>
      <w:r>
        <w:rPr>
          <w:rFonts w:hint="eastAsia" w:cs="仿宋"/>
          <w:highlight w:val="none"/>
          <w:lang w:val="en-US" w:eastAsia="zh-CN"/>
        </w:rPr>
        <w:t>但高级职称、硕士和博士人才数量及比率较低，随着</w:t>
      </w:r>
      <w:r>
        <w:rPr>
          <w:rFonts w:hint="eastAsia" w:ascii="仿宋" w:hAnsi="仿宋" w:eastAsia="仿宋" w:cs="仿宋"/>
          <w:highlight w:val="none"/>
          <w:lang w:val="en-US" w:eastAsia="zh-CN"/>
        </w:rPr>
        <w:t>业务升级对高层次人才需求增加，人才储备机制</w:t>
      </w:r>
      <w:r>
        <w:rPr>
          <w:rFonts w:hint="eastAsia" w:cs="仿宋"/>
          <w:highlight w:val="none"/>
          <w:lang w:val="en-US" w:eastAsia="zh-CN"/>
        </w:rPr>
        <w:t>正在</w:t>
      </w:r>
      <w:r>
        <w:rPr>
          <w:rFonts w:hint="eastAsia" w:ascii="仿宋" w:hAnsi="仿宋" w:eastAsia="仿宋" w:cs="仿宋"/>
          <w:highlight w:val="none"/>
          <w:lang w:val="en-US" w:eastAsia="zh-CN"/>
        </w:rPr>
        <w:t>逐步完善</w:t>
      </w:r>
      <w:r>
        <w:rPr>
          <w:rFonts w:hint="eastAsia" w:cs="仿宋"/>
          <w:highlight w:val="none"/>
          <w:lang w:val="en-US" w:eastAsia="zh-CN"/>
        </w:rPr>
        <w:t>中</w:t>
      </w:r>
      <w:r>
        <w:rPr>
          <w:rFonts w:hint="eastAsia" w:ascii="仿宋" w:hAnsi="仿宋" w:eastAsia="仿宋" w:cs="仿宋"/>
          <w:highlight w:val="none"/>
          <w:lang w:val="en-US" w:eastAsia="zh-CN"/>
        </w:rPr>
        <w:t>。根据评分标准，本指标得0.5分。</w:t>
      </w:r>
    </w:p>
    <w:p w14:paraId="69A67452">
      <w:pPr>
        <w:pStyle w:val="9"/>
        <w:overflowPunct w:val="0"/>
        <w:autoSpaceDE w:val="0"/>
        <w:autoSpaceDN w:val="0"/>
        <w:spacing w:line="560" w:lineRule="exact"/>
        <w:ind w:firstLine="474" w:firstLineChars="150"/>
        <w:jc w:val="both"/>
        <w:rPr>
          <w:rFonts w:hint="eastAsia" w:ascii="仿宋" w:hAnsi="仿宋" w:eastAsia="仿宋" w:cs="仿宋"/>
          <w:highlight w:val="none"/>
          <w:lang w:val="en-US"/>
        </w:rPr>
      </w:pPr>
      <w:r>
        <w:rPr>
          <w:rFonts w:hint="eastAsia" w:ascii="仿宋" w:hAnsi="仿宋" w:eastAsia="仿宋" w:cs="仿宋"/>
          <w:highlight w:val="none"/>
          <w:lang w:val="en-US"/>
        </w:rPr>
        <w:t>（3）科技支撑分析</w:t>
      </w:r>
    </w:p>
    <w:p w14:paraId="31C96381">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①信息化建设情况权重1分，得分1分，未扣分。</w:t>
      </w:r>
    </w:p>
    <w:p w14:paraId="15FB0D0E">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农业水价改革安装计量设施实现用水精准管控，土壤普查数据上传国家平台。推进智慧监测体系，实时监测水利设施、河湖水质与森林资源，管理数字化水平提升，决策更科学高效。达到评价要求，该指标不扣分。</w:t>
      </w:r>
    </w:p>
    <w:p w14:paraId="5B30869C">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②科技赋能服务权重1分，得分1分，未扣分。</w:t>
      </w:r>
    </w:p>
    <w:p w14:paraId="6FA8F52C">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水利项目用先进技术建防渗墙等保障安全，水资源管理靠计量与智慧监测精细化调配。森林病虫害防治用无人机开展药物与生物防治，提升效率遏制蔓延，科技全面赋能服务能力提升</w:t>
      </w:r>
      <w:r>
        <w:rPr>
          <w:rFonts w:hint="eastAsia" w:cs="仿宋"/>
          <w:highlight w:val="none"/>
          <w:lang w:val="en-US" w:eastAsia="zh-CN"/>
        </w:rPr>
        <w:t>。</w:t>
      </w:r>
      <w:r>
        <w:rPr>
          <w:rFonts w:hint="eastAsia" w:ascii="仿宋" w:hAnsi="仿宋" w:eastAsia="仿宋" w:cs="仿宋"/>
          <w:highlight w:val="none"/>
          <w:lang w:val="en-US" w:eastAsia="zh-CN"/>
        </w:rPr>
        <w:t>达到评价要求，该指标不扣分。</w:t>
      </w:r>
    </w:p>
    <w:p w14:paraId="3FD28568">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6.满意度分析</w:t>
      </w:r>
    </w:p>
    <w:p w14:paraId="0A54BA54">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评价人员从服务对象满意度进行了评价，</w:t>
      </w:r>
      <w:r>
        <w:rPr>
          <w:rFonts w:hint="eastAsia" w:ascii="仿宋" w:hAnsi="仿宋" w:eastAsia="仿宋" w:cs="仿宋"/>
          <w:kern w:val="2"/>
          <w:sz w:val="32"/>
          <w:szCs w:val="32"/>
          <w:highlight w:val="none"/>
          <w:lang w:val="en-US" w:eastAsia="zh-CN" w:bidi="zh-CN"/>
        </w:rPr>
        <w:t>满意度</w:t>
      </w:r>
      <w:r>
        <w:rPr>
          <w:rFonts w:hint="eastAsia" w:cs="仿宋"/>
          <w:kern w:val="2"/>
          <w:sz w:val="32"/>
          <w:szCs w:val="32"/>
          <w:highlight w:val="none"/>
          <w:lang w:val="en-US" w:eastAsia="zh-CN" w:bidi="zh-CN"/>
        </w:rPr>
        <w:t>指标</w:t>
      </w:r>
      <w:r>
        <w:rPr>
          <w:rFonts w:hint="eastAsia" w:ascii="仿宋" w:hAnsi="仿宋" w:cs="Times New Roman"/>
          <w:bCs/>
          <w:kern w:val="0"/>
          <w:szCs w:val="32"/>
          <w:highlight w:val="none"/>
          <w:lang w:val="en-US" w:eastAsia="zh-CN"/>
        </w:rPr>
        <w:t>总分</w:t>
      </w:r>
      <w:r>
        <w:rPr>
          <w:rFonts w:hint="eastAsia" w:cs="Times New Roman"/>
          <w:bCs/>
          <w:kern w:val="0"/>
          <w:szCs w:val="32"/>
          <w:highlight w:val="none"/>
          <w:lang w:val="en-US" w:eastAsia="zh-CN"/>
        </w:rPr>
        <w:t>6</w:t>
      </w:r>
      <w:r>
        <w:rPr>
          <w:rFonts w:hint="eastAsia" w:ascii="仿宋" w:hAnsi="仿宋" w:cs="Times New Roman"/>
          <w:bCs/>
          <w:kern w:val="0"/>
          <w:szCs w:val="32"/>
          <w:highlight w:val="none"/>
          <w:lang w:val="en-US" w:eastAsia="zh-CN"/>
        </w:rPr>
        <w:t>分，实际得分</w:t>
      </w:r>
      <w:r>
        <w:rPr>
          <w:rFonts w:hint="eastAsia" w:cs="Times New Roman"/>
          <w:bCs/>
          <w:kern w:val="0"/>
          <w:szCs w:val="32"/>
          <w:highlight w:val="none"/>
          <w:lang w:val="en-US" w:eastAsia="zh-CN"/>
        </w:rPr>
        <w:t>6</w:t>
      </w:r>
      <w:r>
        <w:rPr>
          <w:rFonts w:hint="eastAsia" w:ascii="仿宋" w:hAnsi="仿宋" w:cs="Times New Roman"/>
          <w:bCs/>
          <w:kern w:val="0"/>
          <w:szCs w:val="32"/>
          <w:highlight w:val="none"/>
          <w:lang w:val="en-US" w:eastAsia="zh-CN"/>
        </w:rPr>
        <w:t>分</w:t>
      </w:r>
      <w:r>
        <w:rPr>
          <w:rFonts w:hint="eastAsia" w:cs="Times New Roman"/>
          <w:bCs/>
          <w:kern w:val="0"/>
          <w:szCs w:val="32"/>
          <w:highlight w:val="none"/>
          <w:lang w:val="en-US" w:eastAsia="zh-CN"/>
        </w:rPr>
        <w:t>，</w:t>
      </w:r>
      <w:r>
        <w:rPr>
          <w:rFonts w:hint="eastAsia" w:ascii="仿宋" w:hAnsi="仿宋" w:eastAsia="仿宋" w:cs="仿宋"/>
          <w:highlight w:val="none"/>
          <w:lang w:val="en-US" w:eastAsia="zh-CN"/>
        </w:rPr>
        <w:t>具体如下：</w:t>
      </w:r>
    </w:p>
    <w:p w14:paraId="271B6DE6">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①服务对象满意度权重6分，得分6分，未扣分。</w:t>
      </w:r>
    </w:p>
    <w:p w14:paraId="6253E5BF">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评价人员随机对30</w:t>
      </w:r>
      <w:r>
        <w:rPr>
          <w:rFonts w:hint="eastAsia" w:cs="仿宋"/>
          <w:highlight w:val="none"/>
          <w:lang w:val="en-US" w:eastAsia="zh-CN"/>
        </w:rPr>
        <w:t>名</w:t>
      </w:r>
      <w:r>
        <w:rPr>
          <w:rFonts w:hint="eastAsia" w:ascii="仿宋" w:hAnsi="仿宋" w:eastAsia="仿宋" w:cs="仿宋"/>
          <w:highlight w:val="none"/>
          <w:lang w:val="en-US" w:eastAsia="zh-CN"/>
        </w:rPr>
        <w:t>群众发放</w:t>
      </w:r>
      <w:r>
        <w:rPr>
          <w:rFonts w:hint="eastAsia" w:cs="仿宋"/>
          <w:highlight w:val="none"/>
          <w:lang w:val="en-US" w:eastAsia="zh-CN"/>
        </w:rPr>
        <w:t>调查</w:t>
      </w:r>
      <w:r>
        <w:rPr>
          <w:rFonts w:hint="eastAsia" w:ascii="仿宋" w:hAnsi="仿宋" w:eastAsia="仿宋" w:cs="仿宋"/>
          <w:highlight w:val="none"/>
          <w:lang w:val="en-US" w:eastAsia="zh-CN"/>
        </w:rPr>
        <w:t>问卷，对区水湖局履职效果</w:t>
      </w:r>
      <w:r>
        <w:rPr>
          <w:rFonts w:hint="eastAsia" w:cs="仿宋"/>
          <w:highlight w:val="none"/>
          <w:lang w:val="en-US" w:eastAsia="zh-CN"/>
        </w:rPr>
        <w:t>进行</w:t>
      </w:r>
      <w:r>
        <w:rPr>
          <w:rFonts w:hint="eastAsia" w:ascii="仿宋" w:hAnsi="仿宋" w:eastAsia="仿宋" w:cs="仿宋"/>
          <w:highlight w:val="none"/>
          <w:lang w:val="en-US" w:eastAsia="zh-CN"/>
        </w:rPr>
        <w:t>问卷调查，调查结果显示，有93.33%的受访群众对区水湖局表示满意，根据评分标准，本指标不扣分。</w:t>
      </w:r>
    </w:p>
    <w:p w14:paraId="06512548">
      <w:pPr>
        <w:pStyle w:val="4"/>
        <w:keepNext w:val="0"/>
        <w:keepLines w:val="0"/>
        <w:overflowPunct w:val="0"/>
        <w:autoSpaceDE w:val="0"/>
        <w:autoSpaceDN w:val="0"/>
        <w:ind w:firstLine="473"/>
        <w:outlineLvl w:val="1"/>
        <w:rPr>
          <w:rFonts w:hint="eastAsia" w:ascii="Times New Roman" w:hAnsi="Times New Roman"/>
          <w:highlight w:val="none"/>
          <w:lang w:eastAsia="zh-CN"/>
        </w:rPr>
      </w:pPr>
      <w:bookmarkStart w:id="19" w:name="_Toc16125"/>
      <w:r>
        <w:rPr>
          <w:rFonts w:hint="eastAsia" w:ascii="Times New Roman" w:hAnsi="Times New Roman"/>
          <w:highlight w:val="none"/>
        </w:rPr>
        <w:t>（四）存在的其他问题和原因</w:t>
      </w:r>
      <w:bookmarkEnd w:id="19"/>
    </w:p>
    <w:p w14:paraId="0768E3CE">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1.预算编制的准确及合理性有待提高</w:t>
      </w:r>
    </w:p>
    <w:p w14:paraId="2D1DD02A">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公用经费超支（控制率100.12%）、在职人员超编（控制率166.67%）、预算调整率高（227%）。原因是预算编制前期调研不够充分，对实际需求预判精准性有待提升；人员编制动态调整机制不够完善，未能及时根据职能变化优化配置。</w:t>
      </w:r>
    </w:p>
    <w:p w14:paraId="4ECD9659">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2.绩效管理工作需进一步落实</w:t>
      </w:r>
    </w:p>
    <w:p w14:paraId="5A88DE96">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未制定部门整体绩效目标，绩效监控未开展，部门整体自评缺失。原因是绩效管理理念在日常工作中渗透深度不足，全过程管理链条未完全打通；绩效目标设定与业务规划衔接不够紧密，重项目执行过程、轻结果评价的倾向仍有存在，长效评价机制需进一步完善。</w:t>
      </w:r>
    </w:p>
    <w:p w14:paraId="16AEB0D7">
      <w:pPr>
        <w:pStyle w:val="5"/>
        <w:spacing w:before="0" w:after="0" w:line="560" w:lineRule="exact"/>
        <w:ind w:firstLine="632" w:firstLineChars="200"/>
        <w:outlineLvl w:val="2"/>
        <w:rPr>
          <w:rFonts w:hint="eastAsia"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3.资产、资金管理有待加强</w:t>
      </w:r>
    </w:p>
    <w:p w14:paraId="1F0BBDE2">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cs="Times New Roman"/>
          <w:bCs/>
          <w:kern w:val="0"/>
          <w:szCs w:val="32"/>
          <w:highlight w:val="none"/>
          <w:lang w:val="en-US" w:eastAsia="zh-CN"/>
        </w:rPr>
      </w:pPr>
      <w:r>
        <w:rPr>
          <w:rFonts w:hint="eastAsia" w:ascii="仿宋" w:hAnsi="仿宋" w:cs="Times New Roman"/>
          <w:bCs/>
          <w:kern w:val="0"/>
          <w:szCs w:val="32"/>
          <w:highlight w:val="none"/>
          <w:lang w:val="en-US" w:eastAsia="zh-CN"/>
        </w:rPr>
        <w:t>结转结余率6%略高。原因是部分项目实施过程中受外部因素影响，进度推进节奏与资金拨付计划匹配度不足；项目结算验收环节流程衔接不够顺畅，导致资金未能及时核销结转。</w:t>
      </w:r>
    </w:p>
    <w:p w14:paraId="7F362826">
      <w:pPr>
        <w:pStyle w:val="5"/>
        <w:spacing w:before="0" w:after="0" w:line="560" w:lineRule="exact"/>
        <w:ind w:firstLine="632" w:firstLineChars="200"/>
        <w:outlineLvl w:val="2"/>
        <w:rPr>
          <w:rFonts w:hint="default" w:ascii="楷体" w:hAnsi="楷体" w:eastAsia="楷体" w:cs="楷体"/>
          <w:b w:val="0"/>
          <w:bCs w:val="0"/>
          <w:kern w:val="0"/>
          <w:sz w:val="32"/>
          <w:szCs w:val="32"/>
          <w:highlight w:val="none"/>
          <w:lang w:val="en-US" w:eastAsia="zh-CN" w:bidi="ar-SA"/>
        </w:rPr>
      </w:pPr>
      <w:r>
        <w:rPr>
          <w:rFonts w:hint="eastAsia" w:ascii="楷体" w:hAnsi="楷体" w:eastAsia="楷体" w:cs="楷体"/>
          <w:b w:val="0"/>
          <w:bCs w:val="0"/>
          <w:kern w:val="0"/>
          <w:sz w:val="32"/>
          <w:szCs w:val="32"/>
          <w:highlight w:val="none"/>
          <w:lang w:val="en-US" w:eastAsia="zh-CN" w:bidi="ar-SA"/>
        </w:rPr>
        <w:t>4.业务管理有待加强</w:t>
      </w:r>
    </w:p>
    <w:p w14:paraId="720FEC62">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eastAsia="仿宋" w:cs="仿宋"/>
          <w:highlight w:val="none"/>
          <w:lang w:val="en-US" w:eastAsia="zh-CN"/>
        </w:rPr>
      </w:pPr>
      <w:r>
        <w:rPr>
          <w:rFonts w:hint="eastAsia" w:ascii="仿宋" w:hAnsi="仿宋" w:cs="Times New Roman"/>
          <w:bCs/>
          <w:kern w:val="0"/>
          <w:szCs w:val="32"/>
          <w:highlight w:val="none"/>
          <w:lang w:val="en-US" w:eastAsia="zh-CN"/>
        </w:rPr>
        <w:t>工作计划深度不足，人才储备率低。原因是业务规划编制时对长远发展趋势研判不够充分，部分细分领域内容不够细化；人才引育用体系建设相对滞后，与新时代水利林业业务数字化、专业化升级需求的适配性有待增强。</w:t>
      </w:r>
    </w:p>
    <w:p w14:paraId="67EC5267">
      <w:pPr>
        <w:pStyle w:val="4"/>
        <w:keepNext w:val="0"/>
        <w:keepLines w:val="0"/>
        <w:overflowPunct w:val="0"/>
        <w:autoSpaceDE w:val="0"/>
        <w:autoSpaceDN w:val="0"/>
        <w:ind w:firstLine="473"/>
        <w:outlineLvl w:val="1"/>
        <w:rPr>
          <w:rFonts w:hint="eastAsia" w:ascii="Times New Roman" w:hAnsi="Times New Roman"/>
          <w:highlight w:val="none"/>
        </w:rPr>
      </w:pPr>
      <w:bookmarkStart w:id="20" w:name="_Toc17913"/>
      <w:r>
        <w:rPr>
          <w:rFonts w:hint="eastAsia" w:ascii="Times New Roman" w:hAnsi="Times New Roman"/>
          <w:highlight w:val="none"/>
        </w:rPr>
        <w:t>（五）其他佐证材料</w:t>
      </w:r>
      <w:bookmarkEnd w:id="20"/>
    </w:p>
    <w:p w14:paraId="70221B59">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1.2024年度工作总结</w:t>
      </w:r>
    </w:p>
    <w:p w14:paraId="67800EAE">
      <w:pPr>
        <w:pStyle w:val="9"/>
        <w:overflowPunct w:val="0"/>
        <w:autoSpaceDE w:val="0"/>
        <w:autoSpaceDN w:val="0"/>
        <w:spacing w:line="560" w:lineRule="exact"/>
        <w:ind w:firstLine="63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2.区水湖局2024年度绩效目标完成情况的报告及相关指标完成情况佐证材料</w:t>
      </w:r>
    </w:p>
    <w:p w14:paraId="438D4537">
      <w:pPr>
        <w:overflowPunct w:val="0"/>
        <w:autoSpaceDE w:val="0"/>
        <w:autoSpaceDN w:val="0"/>
        <w:ind w:firstLine="632" w:firstLineChars="200"/>
        <w:rPr>
          <w:rFonts w:ascii="Times New Roman" w:hAnsi="Times New Roman" w:eastAsia="黑体" w:cs="Times New Roman"/>
          <w:kern w:val="0"/>
          <w:highlight w:val="none"/>
        </w:rPr>
      </w:pPr>
    </w:p>
    <w:p w14:paraId="1DA51B69">
      <w:pPr>
        <w:pageBreakBefore w:val="0"/>
        <w:widowControl/>
        <w:kinsoku/>
        <w:wordWrap/>
        <w:overflowPunct/>
        <w:topLinePunct w:val="0"/>
        <w:autoSpaceDE/>
        <w:autoSpaceDN/>
        <w:bidi w:val="0"/>
        <w:adjustRightInd/>
        <w:spacing w:line="560" w:lineRule="exact"/>
        <w:jc w:val="right"/>
        <w:rPr>
          <w:rFonts w:hint="eastAsia" w:ascii="仿宋" w:hAnsi="仿宋" w:cs="Times New Roman"/>
          <w:szCs w:val="32"/>
          <w:highlight w:val="none"/>
          <w:lang w:eastAsia="zh-CN"/>
        </w:rPr>
      </w:pPr>
      <w:r>
        <w:rPr>
          <w:rFonts w:hint="eastAsia" w:ascii="仿宋" w:hAnsi="仿宋" w:cs="Times New Roman"/>
          <w:szCs w:val="32"/>
          <w:highlight w:val="none"/>
        </w:rPr>
        <w:tab/>
      </w:r>
      <w:r>
        <w:rPr>
          <w:rFonts w:hint="eastAsia" w:ascii="仿宋" w:hAnsi="仿宋" w:cs="Times New Roman"/>
          <w:szCs w:val="32"/>
          <w:highlight w:val="none"/>
          <w:lang w:eastAsia="zh-CN"/>
        </w:rPr>
        <w:t>湖北永九星房地产资产评估有限公司</w:t>
      </w:r>
    </w:p>
    <w:p w14:paraId="62195493">
      <w:pPr>
        <w:pageBreakBefore w:val="0"/>
        <w:widowControl/>
        <w:kinsoku/>
        <w:wordWrap/>
        <w:overflowPunct/>
        <w:topLinePunct w:val="0"/>
        <w:autoSpaceDE/>
        <w:autoSpaceDN/>
        <w:bidi w:val="0"/>
        <w:adjustRightInd/>
        <w:spacing w:line="560" w:lineRule="exact"/>
        <w:jc w:val="left"/>
        <w:rPr>
          <w:rFonts w:hint="eastAsia" w:ascii="仿宋" w:hAnsi="仿宋" w:cs="Times New Roman"/>
          <w:szCs w:val="32"/>
          <w:highlight w:val="none"/>
        </w:rPr>
      </w:pPr>
      <w:r>
        <w:rPr>
          <w:rFonts w:hint="eastAsia" w:ascii="仿宋" w:hAnsi="仿宋" w:cs="Times New Roman"/>
          <w:szCs w:val="32"/>
          <w:highlight w:val="none"/>
        </w:rPr>
        <w:t xml:space="preserve">                       </w:t>
      </w:r>
      <w:r>
        <w:rPr>
          <w:rFonts w:hint="eastAsia" w:ascii="仿宋" w:hAnsi="仿宋" w:cs="Times New Roman"/>
          <w:szCs w:val="32"/>
          <w:highlight w:val="none"/>
          <w:lang w:val="en-US" w:eastAsia="zh-CN"/>
        </w:rPr>
        <w:t xml:space="preserve">          </w:t>
      </w:r>
      <w:r>
        <w:rPr>
          <w:rFonts w:hint="eastAsia" w:ascii="仿宋" w:hAnsi="仿宋" w:cs="Times New Roman"/>
          <w:szCs w:val="32"/>
          <w:highlight w:val="none"/>
        </w:rPr>
        <w:t>二〇二五年</w:t>
      </w:r>
      <w:r>
        <w:rPr>
          <w:rFonts w:hint="eastAsia" w:ascii="仿宋" w:hAnsi="仿宋" w:cs="Times New Roman"/>
          <w:szCs w:val="32"/>
          <w:highlight w:val="none"/>
          <w:lang w:val="en-US" w:eastAsia="zh-CN"/>
        </w:rPr>
        <w:t>八</w:t>
      </w:r>
      <w:r>
        <w:rPr>
          <w:rFonts w:hint="eastAsia" w:ascii="仿宋" w:hAnsi="仿宋" w:cs="Times New Roman"/>
          <w:szCs w:val="32"/>
          <w:highlight w:val="none"/>
        </w:rPr>
        <w:t>月</w:t>
      </w:r>
    </w:p>
    <w:p w14:paraId="00CE658C">
      <w:pPr>
        <w:pageBreakBefore w:val="0"/>
        <w:widowControl/>
        <w:kinsoku/>
        <w:wordWrap/>
        <w:overflowPunct/>
        <w:topLinePunct w:val="0"/>
        <w:autoSpaceDE/>
        <w:autoSpaceDN/>
        <w:bidi w:val="0"/>
        <w:adjustRightInd/>
        <w:spacing w:line="560" w:lineRule="exact"/>
        <w:jc w:val="right"/>
        <w:rPr>
          <w:rFonts w:hint="eastAsia" w:ascii="仿宋" w:hAnsi="仿宋" w:cs="Times New Roman"/>
          <w:szCs w:val="32"/>
          <w:highlight w:val="none"/>
          <w:lang w:val="en-US"/>
        </w:rPr>
      </w:pPr>
    </w:p>
    <w:p w14:paraId="068D81E8">
      <w:pPr>
        <w:pageBreakBefore w:val="0"/>
        <w:widowControl/>
        <w:kinsoku/>
        <w:wordWrap/>
        <w:overflowPunct/>
        <w:topLinePunct w:val="0"/>
        <w:autoSpaceDE/>
        <w:autoSpaceDN/>
        <w:bidi w:val="0"/>
        <w:adjustRightInd/>
        <w:spacing w:line="560" w:lineRule="exact"/>
        <w:jc w:val="right"/>
        <w:rPr>
          <w:rFonts w:hint="eastAsia" w:ascii="仿宋" w:hAnsi="仿宋" w:cs="Times New Roman"/>
          <w:szCs w:val="32"/>
          <w:highlight w:val="none"/>
        </w:rPr>
      </w:pPr>
      <w:bookmarkStart w:id="21" w:name="_GoBack"/>
      <w:bookmarkEnd w:id="21"/>
    </w:p>
    <w:p w14:paraId="299C079F">
      <w:pPr>
        <w:overflowPunct w:val="0"/>
        <w:autoSpaceDE w:val="0"/>
        <w:autoSpaceDN w:val="0"/>
        <w:spacing w:line="560" w:lineRule="exact"/>
        <w:ind w:firstLine="632" w:firstLineChars="200"/>
        <w:rPr>
          <w:rFonts w:ascii="Times New Roman" w:hAnsi="Times New Roman"/>
          <w:highlight w:val="none"/>
        </w:rPr>
      </w:pPr>
    </w:p>
    <w:sectPr>
      <w:headerReference r:id="rId7" w:type="default"/>
      <w:footerReference r:id="rId8" w:type="default"/>
      <w:pgSz w:w="11906" w:h="16838"/>
      <w:pgMar w:top="2098" w:right="1474" w:bottom="1984" w:left="1587" w:header="1417" w:footer="1134" w:gutter="0"/>
      <w:pgNumType w:fmt="decimal" w:start="1"/>
      <w:cols w:space="0" w:num="1"/>
      <w:docGrid w:type="linesAndChars" w:linePitch="579" w:charSpace="-102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A225A5A0-BD4D-41BC-8EC2-37C0F9BD936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2" w:fontKey="{84F2E118-14E6-4EFA-8DB8-643AC9923574}"/>
  </w:font>
  <w:font w:name="等线 Light">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embedRegular r:id="rId3" w:fontKey="{CAA71F49-1EAF-47A7-A1B2-A2F35E00D9B3}"/>
  </w:font>
  <w:font w:name="仿宋_GB2312">
    <w:panose1 w:val="02010609030101010101"/>
    <w:charset w:val="86"/>
    <w:family w:val="modern"/>
    <w:pitch w:val="default"/>
    <w:sig w:usb0="00000001" w:usb1="080E0000" w:usb2="00000000" w:usb3="00000000" w:csb0="00040000" w:csb1="00000000"/>
    <w:embedRegular r:id="rId4" w:fontKey="{F128447C-17DA-4B7E-87A3-46926306A943}"/>
  </w:font>
  <w:font w:name="方正仿宋_GBK">
    <w:panose1 w:val="03000509000000000000"/>
    <w:charset w:val="86"/>
    <w:family w:val="script"/>
    <w:pitch w:val="default"/>
    <w:sig w:usb0="00000001" w:usb1="080E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方正小标宋_GBK">
    <w:panose1 w:val="03000509000000000000"/>
    <w:charset w:val="86"/>
    <w:family w:val="auto"/>
    <w:pitch w:val="default"/>
    <w:sig w:usb0="00000001" w:usb1="080E0000" w:usb2="00000000" w:usb3="00000000" w:csb0="00040000" w:csb1="00000000"/>
    <w:embedRegular r:id="rId5" w:fontKey="{471B8558-44F7-42C1-B438-C6EA56E50924}"/>
  </w:font>
  <w:font w:name="Wingdings 2">
    <w:panose1 w:val="05020102010507070707"/>
    <w:charset w:val="02"/>
    <w:family w:val="roman"/>
    <w:pitch w:val="default"/>
    <w:sig w:usb0="00000000" w:usb1="00000000" w:usb2="00000000" w:usb3="00000000" w:csb0="80000000" w:csb1="00000000"/>
    <w:embedRegular r:id="rId6" w:fontKey="{56E0AF36-CB42-424D-BB96-F21045E9359C}"/>
  </w:font>
  <w:font w:name="等线">
    <w:altName w:val="微软雅黑"/>
    <w:panose1 w:val="00000000000000000000"/>
    <w:charset w:val="00"/>
    <w:family w:val="auto"/>
    <w:pitch w:val="default"/>
    <w:sig w:usb0="00000000" w:usb1="00000000" w:usb2="00000000" w:usb3="00000000" w:csb0="00000000" w:csb1="00000000"/>
  </w:font>
  <w:font w:name="WPSEMBED9">
    <w:panose1 w:val="05020102010507070707"/>
    <w:charset w:val="00"/>
    <w:family w:val="auto"/>
    <w:pitch w:val="default"/>
    <w:sig w:usb0="00000000" w:usb1="00000000" w:usb2="00000000" w:usb3="00000000" w:csb0="80000000" w:csb1="00000000"/>
  </w:font>
  <w:font w:name="Gulim">
    <w:panose1 w:val="020B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E00002FF" w:usb1="6AC7FDFB" w:usb2="00000012" w:usb3="00000000" w:csb0="4002009F" w:csb1="DFD70000"/>
  </w:font>
  <w:font w:name="等线 Light">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9CF19">
    <w:pPr>
      <w:pStyle w:val="15"/>
      <w:jc w:val="right"/>
      <w:rPr>
        <w:rFonts w:hint="eastAsia" w:ascii="宋体" w:hAnsi="宋体" w:eastAsia="宋体"/>
        <w:b/>
        <w:bCs/>
        <w:i/>
        <w:i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91B21">
    <w:pPr>
      <w:pStyle w:val="15"/>
      <w:jc w:val="both"/>
      <w:rPr>
        <w:rFonts w:hint="eastAsia" w:ascii="宋体" w:hAnsi="宋体" w:eastAsia="宋体"/>
        <w:b/>
        <w:bCs/>
        <w:i/>
        <w:iCs/>
      </w:rP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43AB13">
                          <w:pPr>
                            <w:pStyle w:val="15"/>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043AB13">
                    <w:pPr>
                      <w:pStyle w:val="15"/>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5FA1E">
    <w:pPr>
      <w:pStyle w:val="16"/>
      <w:pBdr>
        <w:bottom w:val="none" w:color="auto" w:sz="0" w:space="0"/>
      </w:pBdr>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0AA0D">
    <w:pPr>
      <w:pStyle w:val="16"/>
      <w:pBdr>
        <w:bottom w:val="none" w:color="auto" w:sz="0" w:space="0"/>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BBDAB">
    <w:pPr>
      <w:pStyle w:val="16"/>
      <w:pBdr>
        <w:bottom w:val="none" w:color="auto" w:sz="0" w:space="0"/>
      </w:pBdr>
      <w:jc w:val="both"/>
      <w:rPr>
        <w:rFonts w:hint="eastAsia" w:ascii="宋体" w:hAnsi="宋体" w:eastAsia="宋体"/>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9FFFD">
    <w:pPr>
      <w:pStyle w:val="16"/>
      <w:pBdr>
        <w:bottom w:val="double" w:color="auto" w:sz="8" w:space="0"/>
      </w:pBdr>
      <w:tabs>
        <w:tab w:val="left" w:pos="1586"/>
        <w:tab w:val="clear" w:pos="4153"/>
      </w:tabs>
      <w:jc w:val="center"/>
      <w:rPr>
        <w:rFonts w:hint="eastAsia" w:ascii="宋体" w:hAnsi="宋体" w:eastAsia="宋体"/>
        <w:b/>
        <w:bCs/>
        <w:lang w:eastAsia="zh-CN"/>
      </w:rPr>
    </w:pPr>
    <w:r>
      <w:rPr>
        <w:rFonts w:hint="eastAsia" w:ascii="宋体" w:hAnsi="宋体" w:eastAsia="宋体"/>
        <w:b/>
        <w:bCs/>
        <w:lang w:eastAsia="zh-CN"/>
      </w:rPr>
      <w:t>2024年黄石市下陆区水利和湖泊局部门整体支出绩效评价报告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mMDYwYzNjNzI5ODA4ZmI0NjA1NjA5YTYyZmQ3NTgifQ=="/>
  </w:docVars>
  <w:rsids>
    <w:rsidRoot w:val="00A504DC"/>
    <w:rsid w:val="00003DFE"/>
    <w:rsid w:val="00005FE9"/>
    <w:rsid w:val="00006A17"/>
    <w:rsid w:val="0000748A"/>
    <w:rsid w:val="00012E88"/>
    <w:rsid w:val="00016034"/>
    <w:rsid w:val="00020A3F"/>
    <w:rsid w:val="00024F48"/>
    <w:rsid w:val="0003153F"/>
    <w:rsid w:val="0003175F"/>
    <w:rsid w:val="00035117"/>
    <w:rsid w:val="000408F5"/>
    <w:rsid w:val="00040F71"/>
    <w:rsid w:val="00046DE5"/>
    <w:rsid w:val="000502A9"/>
    <w:rsid w:val="00051BF2"/>
    <w:rsid w:val="00052B5E"/>
    <w:rsid w:val="0005483C"/>
    <w:rsid w:val="000567C3"/>
    <w:rsid w:val="00056D74"/>
    <w:rsid w:val="000575D5"/>
    <w:rsid w:val="00061548"/>
    <w:rsid w:val="000620E2"/>
    <w:rsid w:val="00062B7A"/>
    <w:rsid w:val="0006530E"/>
    <w:rsid w:val="00066006"/>
    <w:rsid w:val="00066D9F"/>
    <w:rsid w:val="000677AB"/>
    <w:rsid w:val="00070AF7"/>
    <w:rsid w:val="000760DA"/>
    <w:rsid w:val="00076944"/>
    <w:rsid w:val="00077731"/>
    <w:rsid w:val="00081641"/>
    <w:rsid w:val="00083A04"/>
    <w:rsid w:val="00085D07"/>
    <w:rsid w:val="0008799D"/>
    <w:rsid w:val="00091BDA"/>
    <w:rsid w:val="00091FB1"/>
    <w:rsid w:val="00095D04"/>
    <w:rsid w:val="000A1671"/>
    <w:rsid w:val="000A25E4"/>
    <w:rsid w:val="000B11F3"/>
    <w:rsid w:val="000B16A3"/>
    <w:rsid w:val="000B1FEC"/>
    <w:rsid w:val="000B44C9"/>
    <w:rsid w:val="000B4FFF"/>
    <w:rsid w:val="000B51F4"/>
    <w:rsid w:val="000B578A"/>
    <w:rsid w:val="000B724C"/>
    <w:rsid w:val="000C08EF"/>
    <w:rsid w:val="000C1E2B"/>
    <w:rsid w:val="000C611E"/>
    <w:rsid w:val="000D305C"/>
    <w:rsid w:val="000D4BA6"/>
    <w:rsid w:val="000D5D45"/>
    <w:rsid w:val="000E5380"/>
    <w:rsid w:val="000F6310"/>
    <w:rsid w:val="00100389"/>
    <w:rsid w:val="00102D21"/>
    <w:rsid w:val="001051A3"/>
    <w:rsid w:val="001100DE"/>
    <w:rsid w:val="0011069E"/>
    <w:rsid w:val="0011102D"/>
    <w:rsid w:val="0011257A"/>
    <w:rsid w:val="00115C42"/>
    <w:rsid w:val="00120BA2"/>
    <w:rsid w:val="0012308F"/>
    <w:rsid w:val="0013020C"/>
    <w:rsid w:val="00131646"/>
    <w:rsid w:val="00135BDD"/>
    <w:rsid w:val="001432C4"/>
    <w:rsid w:val="00143FBC"/>
    <w:rsid w:val="00146BA5"/>
    <w:rsid w:val="001500CD"/>
    <w:rsid w:val="00152029"/>
    <w:rsid w:val="00154378"/>
    <w:rsid w:val="00166B01"/>
    <w:rsid w:val="00166D19"/>
    <w:rsid w:val="00182753"/>
    <w:rsid w:val="00187CC8"/>
    <w:rsid w:val="00193A5E"/>
    <w:rsid w:val="00194101"/>
    <w:rsid w:val="00194865"/>
    <w:rsid w:val="00194C5A"/>
    <w:rsid w:val="00197C98"/>
    <w:rsid w:val="001A0E0B"/>
    <w:rsid w:val="001A680C"/>
    <w:rsid w:val="001A73F4"/>
    <w:rsid w:val="001B135E"/>
    <w:rsid w:val="001B33A7"/>
    <w:rsid w:val="001B573D"/>
    <w:rsid w:val="001C70C6"/>
    <w:rsid w:val="001C7800"/>
    <w:rsid w:val="001C7CAB"/>
    <w:rsid w:val="001D5566"/>
    <w:rsid w:val="001D6127"/>
    <w:rsid w:val="001D6365"/>
    <w:rsid w:val="001D6CC0"/>
    <w:rsid w:val="001E09DA"/>
    <w:rsid w:val="001E0D22"/>
    <w:rsid w:val="001E1A58"/>
    <w:rsid w:val="001E4796"/>
    <w:rsid w:val="001E6AC0"/>
    <w:rsid w:val="001E7759"/>
    <w:rsid w:val="001F203E"/>
    <w:rsid w:val="001F3F7D"/>
    <w:rsid w:val="001F691C"/>
    <w:rsid w:val="001F6BEC"/>
    <w:rsid w:val="001F78CC"/>
    <w:rsid w:val="00200546"/>
    <w:rsid w:val="00210D0E"/>
    <w:rsid w:val="00211F09"/>
    <w:rsid w:val="00213946"/>
    <w:rsid w:val="002157AB"/>
    <w:rsid w:val="00216245"/>
    <w:rsid w:val="00221982"/>
    <w:rsid w:val="00226498"/>
    <w:rsid w:val="002267A5"/>
    <w:rsid w:val="00227CE6"/>
    <w:rsid w:val="0023069D"/>
    <w:rsid w:val="0023310F"/>
    <w:rsid w:val="0023522E"/>
    <w:rsid w:val="00241106"/>
    <w:rsid w:val="00241AA1"/>
    <w:rsid w:val="00246AA7"/>
    <w:rsid w:val="00250523"/>
    <w:rsid w:val="00255B25"/>
    <w:rsid w:val="00261E46"/>
    <w:rsid w:val="002636DB"/>
    <w:rsid w:val="00267FB0"/>
    <w:rsid w:val="002718FE"/>
    <w:rsid w:val="0027526C"/>
    <w:rsid w:val="00276F8C"/>
    <w:rsid w:val="00281F72"/>
    <w:rsid w:val="00283FE7"/>
    <w:rsid w:val="0028470F"/>
    <w:rsid w:val="00284B45"/>
    <w:rsid w:val="0028553A"/>
    <w:rsid w:val="00291329"/>
    <w:rsid w:val="00292D25"/>
    <w:rsid w:val="002A014B"/>
    <w:rsid w:val="002A0FEE"/>
    <w:rsid w:val="002A1A9F"/>
    <w:rsid w:val="002A610F"/>
    <w:rsid w:val="002B256A"/>
    <w:rsid w:val="002B4333"/>
    <w:rsid w:val="002B4CF6"/>
    <w:rsid w:val="002B6541"/>
    <w:rsid w:val="002B68CD"/>
    <w:rsid w:val="002C2038"/>
    <w:rsid w:val="002C5A7B"/>
    <w:rsid w:val="002D0FEB"/>
    <w:rsid w:val="002D4160"/>
    <w:rsid w:val="002E1491"/>
    <w:rsid w:val="002E1D59"/>
    <w:rsid w:val="002F2EB6"/>
    <w:rsid w:val="002F55AC"/>
    <w:rsid w:val="00304263"/>
    <w:rsid w:val="00307C42"/>
    <w:rsid w:val="00312381"/>
    <w:rsid w:val="00313E1F"/>
    <w:rsid w:val="00313E7D"/>
    <w:rsid w:val="003145C9"/>
    <w:rsid w:val="00323F04"/>
    <w:rsid w:val="00327EE6"/>
    <w:rsid w:val="003372F2"/>
    <w:rsid w:val="00342838"/>
    <w:rsid w:val="003431BD"/>
    <w:rsid w:val="0034770E"/>
    <w:rsid w:val="00351061"/>
    <w:rsid w:val="00353BA1"/>
    <w:rsid w:val="003603C5"/>
    <w:rsid w:val="00366605"/>
    <w:rsid w:val="0037028A"/>
    <w:rsid w:val="00372E80"/>
    <w:rsid w:val="0037380D"/>
    <w:rsid w:val="0037404C"/>
    <w:rsid w:val="0037476C"/>
    <w:rsid w:val="00384A84"/>
    <w:rsid w:val="00390356"/>
    <w:rsid w:val="003A2987"/>
    <w:rsid w:val="003A34B4"/>
    <w:rsid w:val="003A4CEB"/>
    <w:rsid w:val="003A5578"/>
    <w:rsid w:val="003A6461"/>
    <w:rsid w:val="003A7625"/>
    <w:rsid w:val="003A7986"/>
    <w:rsid w:val="003B3FE0"/>
    <w:rsid w:val="003B65D9"/>
    <w:rsid w:val="003B695F"/>
    <w:rsid w:val="003C11C1"/>
    <w:rsid w:val="003C22F9"/>
    <w:rsid w:val="003C353A"/>
    <w:rsid w:val="003C6FA4"/>
    <w:rsid w:val="003D091A"/>
    <w:rsid w:val="003D2105"/>
    <w:rsid w:val="003D2963"/>
    <w:rsid w:val="003D2A4D"/>
    <w:rsid w:val="003D2FE0"/>
    <w:rsid w:val="003E1AEA"/>
    <w:rsid w:val="003E1F76"/>
    <w:rsid w:val="003E246C"/>
    <w:rsid w:val="003E446E"/>
    <w:rsid w:val="003E4651"/>
    <w:rsid w:val="003F2BA7"/>
    <w:rsid w:val="003F2D50"/>
    <w:rsid w:val="003F4EF2"/>
    <w:rsid w:val="003F6819"/>
    <w:rsid w:val="003F786B"/>
    <w:rsid w:val="00406FC2"/>
    <w:rsid w:val="004074BB"/>
    <w:rsid w:val="00413022"/>
    <w:rsid w:val="004154C2"/>
    <w:rsid w:val="0041794D"/>
    <w:rsid w:val="00421733"/>
    <w:rsid w:val="00422A70"/>
    <w:rsid w:val="004301BD"/>
    <w:rsid w:val="00433E76"/>
    <w:rsid w:val="00435722"/>
    <w:rsid w:val="00435D25"/>
    <w:rsid w:val="00436AB0"/>
    <w:rsid w:val="00437DF9"/>
    <w:rsid w:val="0044120A"/>
    <w:rsid w:val="00446B7F"/>
    <w:rsid w:val="004470F6"/>
    <w:rsid w:val="00447EED"/>
    <w:rsid w:val="00450404"/>
    <w:rsid w:val="00452109"/>
    <w:rsid w:val="00452607"/>
    <w:rsid w:val="00454417"/>
    <w:rsid w:val="0045621B"/>
    <w:rsid w:val="004640B8"/>
    <w:rsid w:val="00467868"/>
    <w:rsid w:val="00470083"/>
    <w:rsid w:val="0047086A"/>
    <w:rsid w:val="00475402"/>
    <w:rsid w:val="00483335"/>
    <w:rsid w:val="00486E3C"/>
    <w:rsid w:val="0049265C"/>
    <w:rsid w:val="00494811"/>
    <w:rsid w:val="00496031"/>
    <w:rsid w:val="00497701"/>
    <w:rsid w:val="004A4D79"/>
    <w:rsid w:val="004A6EA6"/>
    <w:rsid w:val="004B0EBB"/>
    <w:rsid w:val="004B1A9A"/>
    <w:rsid w:val="004B1EE2"/>
    <w:rsid w:val="004B4484"/>
    <w:rsid w:val="004B4C69"/>
    <w:rsid w:val="004B5C16"/>
    <w:rsid w:val="004B6B79"/>
    <w:rsid w:val="004C1B53"/>
    <w:rsid w:val="004C4DB0"/>
    <w:rsid w:val="004C68DB"/>
    <w:rsid w:val="004D2584"/>
    <w:rsid w:val="004D2F2B"/>
    <w:rsid w:val="004D5129"/>
    <w:rsid w:val="004D5C8C"/>
    <w:rsid w:val="004D76FD"/>
    <w:rsid w:val="004E14D6"/>
    <w:rsid w:val="004E1F46"/>
    <w:rsid w:val="004F0173"/>
    <w:rsid w:val="004F0698"/>
    <w:rsid w:val="004F0A98"/>
    <w:rsid w:val="004F6DC7"/>
    <w:rsid w:val="005002FC"/>
    <w:rsid w:val="00500ECC"/>
    <w:rsid w:val="00503B07"/>
    <w:rsid w:val="005058FD"/>
    <w:rsid w:val="00513BAB"/>
    <w:rsid w:val="005142ED"/>
    <w:rsid w:val="005158EB"/>
    <w:rsid w:val="00521E14"/>
    <w:rsid w:val="0052230B"/>
    <w:rsid w:val="00530D5E"/>
    <w:rsid w:val="00532931"/>
    <w:rsid w:val="00532A05"/>
    <w:rsid w:val="005361B4"/>
    <w:rsid w:val="0053681F"/>
    <w:rsid w:val="00541D6B"/>
    <w:rsid w:val="00542663"/>
    <w:rsid w:val="00543174"/>
    <w:rsid w:val="005541D3"/>
    <w:rsid w:val="005565A7"/>
    <w:rsid w:val="005576BA"/>
    <w:rsid w:val="00561497"/>
    <w:rsid w:val="00561D86"/>
    <w:rsid w:val="00561EE7"/>
    <w:rsid w:val="005635D2"/>
    <w:rsid w:val="00563FBB"/>
    <w:rsid w:val="00566425"/>
    <w:rsid w:val="00572899"/>
    <w:rsid w:val="005733C5"/>
    <w:rsid w:val="00573602"/>
    <w:rsid w:val="0058067D"/>
    <w:rsid w:val="0058417B"/>
    <w:rsid w:val="00585412"/>
    <w:rsid w:val="00586643"/>
    <w:rsid w:val="00586E83"/>
    <w:rsid w:val="005877BB"/>
    <w:rsid w:val="00593114"/>
    <w:rsid w:val="005A096B"/>
    <w:rsid w:val="005A32FA"/>
    <w:rsid w:val="005A52C3"/>
    <w:rsid w:val="005B1A3F"/>
    <w:rsid w:val="005B1DBC"/>
    <w:rsid w:val="005B7322"/>
    <w:rsid w:val="005B78CC"/>
    <w:rsid w:val="005C00CE"/>
    <w:rsid w:val="005C1D2A"/>
    <w:rsid w:val="005C6EE0"/>
    <w:rsid w:val="005C6F11"/>
    <w:rsid w:val="005C7739"/>
    <w:rsid w:val="005D0200"/>
    <w:rsid w:val="005D2411"/>
    <w:rsid w:val="005D3206"/>
    <w:rsid w:val="005E1F90"/>
    <w:rsid w:val="005E544A"/>
    <w:rsid w:val="00603F4B"/>
    <w:rsid w:val="006046F6"/>
    <w:rsid w:val="0061326C"/>
    <w:rsid w:val="00617561"/>
    <w:rsid w:val="00620700"/>
    <w:rsid w:val="00622AA9"/>
    <w:rsid w:val="006275A5"/>
    <w:rsid w:val="006277F6"/>
    <w:rsid w:val="006345D4"/>
    <w:rsid w:val="00641C8F"/>
    <w:rsid w:val="00641E6F"/>
    <w:rsid w:val="006467CA"/>
    <w:rsid w:val="00650722"/>
    <w:rsid w:val="00652E4D"/>
    <w:rsid w:val="00656B24"/>
    <w:rsid w:val="00657232"/>
    <w:rsid w:val="00657F96"/>
    <w:rsid w:val="00666963"/>
    <w:rsid w:val="006672D9"/>
    <w:rsid w:val="00670002"/>
    <w:rsid w:val="00672202"/>
    <w:rsid w:val="006725A8"/>
    <w:rsid w:val="00673CD1"/>
    <w:rsid w:val="00676E45"/>
    <w:rsid w:val="00677F65"/>
    <w:rsid w:val="00686352"/>
    <w:rsid w:val="00686FA4"/>
    <w:rsid w:val="0068781E"/>
    <w:rsid w:val="006964CD"/>
    <w:rsid w:val="006A294F"/>
    <w:rsid w:val="006A5DCA"/>
    <w:rsid w:val="006A7309"/>
    <w:rsid w:val="006A7EBB"/>
    <w:rsid w:val="006B1450"/>
    <w:rsid w:val="006B4A90"/>
    <w:rsid w:val="006B70C5"/>
    <w:rsid w:val="006C0939"/>
    <w:rsid w:val="006C1AB0"/>
    <w:rsid w:val="006C27A8"/>
    <w:rsid w:val="006C2E71"/>
    <w:rsid w:val="006C306C"/>
    <w:rsid w:val="006C51DA"/>
    <w:rsid w:val="006C5DF0"/>
    <w:rsid w:val="006D2F71"/>
    <w:rsid w:val="006D30F1"/>
    <w:rsid w:val="006E069F"/>
    <w:rsid w:val="006E088B"/>
    <w:rsid w:val="006E150A"/>
    <w:rsid w:val="006E1B87"/>
    <w:rsid w:val="006E2DA0"/>
    <w:rsid w:val="006F125D"/>
    <w:rsid w:val="00701D80"/>
    <w:rsid w:val="00702C29"/>
    <w:rsid w:val="00704E5C"/>
    <w:rsid w:val="007128C8"/>
    <w:rsid w:val="0071381B"/>
    <w:rsid w:val="007144A7"/>
    <w:rsid w:val="00715CF2"/>
    <w:rsid w:val="00717E2F"/>
    <w:rsid w:val="007233B1"/>
    <w:rsid w:val="0072541B"/>
    <w:rsid w:val="007269DF"/>
    <w:rsid w:val="00732930"/>
    <w:rsid w:val="00733497"/>
    <w:rsid w:val="0074479C"/>
    <w:rsid w:val="00747D7A"/>
    <w:rsid w:val="00750721"/>
    <w:rsid w:val="007544CC"/>
    <w:rsid w:val="00757CF2"/>
    <w:rsid w:val="007603A7"/>
    <w:rsid w:val="007644F5"/>
    <w:rsid w:val="0077137D"/>
    <w:rsid w:val="00774B6A"/>
    <w:rsid w:val="007805F1"/>
    <w:rsid w:val="00782943"/>
    <w:rsid w:val="00782EA3"/>
    <w:rsid w:val="007839E5"/>
    <w:rsid w:val="00785071"/>
    <w:rsid w:val="00795CD4"/>
    <w:rsid w:val="00797FAB"/>
    <w:rsid w:val="007A16BD"/>
    <w:rsid w:val="007A5D8D"/>
    <w:rsid w:val="007A61C0"/>
    <w:rsid w:val="007A7326"/>
    <w:rsid w:val="007A7B12"/>
    <w:rsid w:val="007B108B"/>
    <w:rsid w:val="007B2C17"/>
    <w:rsid w:val="007B5562"/>
    <w:rsid w:val="007C1EFE"/>
    <w:rsid w:val="007C5325"/>
    <w:rsid w:val="007C5BD0"/>
    <w:rsid w:val="007C7087"/>
    <w:rsid w:val="007C758B"/>
    <w:rsid w:val="007D2D4F"/>
    <w:rsid w:val="007D7075"/>
    <w:rsid w:val="007E02AA"/>
    <w:rsid w:val="007E1A87"/>
    <w:rsid w:val="007F7146"/>
    <w:rsid w:val="00801540"/>
    <w:rsid w:val="0080344A"/>
    <w:rsid w:val="00803AE4"/>
    <w:rsid w:val="00804203"/>
    <w:rsid w:val="00807E12"/>
    <w:rsid w:val="008130B2"/>
    <w:rsid w:val="0082084E"/>
    <w:rsid w:val="008248FB"/>
    <w:rsid w:val="0082526C"/>
    <w:rsid w:val="008308C6"/>
    <w:rsid w:val="0084125D"/>
    <w:rsid w:val="008469D3"/>
    <w:rsid w:val="0085390F"/>
    <w:rsid w:val="008613A8"/>
    <w:rsid w:val="00862B20"/>
    <w:rsid w:val="008633C3"/>
    <w:rsid w:val="00863D36"/>
    <w:rsid w:val="008703D8"/>
    <w:rsid w:val="0087268B"/>
    <w:rsid w:val="00875499"/>
    <w:rsid w:val="00883023"/>
    <w:rsid w:val="008851E5"/>
    <w:rsid w:val="008872FB"/>
    <w:rsid w:val="00890FD0"/>
    <w:rsid w:val="00893D07"/>
    <w:rsid w:val="008A095E"/>
    <w:rsid w:val="008A1CF5"/>
    <w:rsid w:val="008B6637"/>
    <w:rsid w:val="008C1862"/>
    <w:rsid w:val="008C5E0C"/>
    <w:rsid w:val="008D261C"/>
    <w:rsid w:val="008D28E5"/>
    <w:rsid w:val="008E0DFF"/>
    <w:rsid w:val="008E12DD"/>
    <w:rsid w:val="008E1357"/>
    <w:rsid w:val="008E527A"/>
    <w:rsid w:val="008E6387"/>
    <w:rsid w:val="008F0CF0"/>
    <w:rsid w:val="008F46EE"/>
    <w:rsid w:val="0090212A"/>
    <w:rsid w:val="00904229"/>
    <w:rsid w:val="00904D80"/>
    <w:rsid w:val="00905045"/>
    <w:rsid w:val="00910DB4"/>
    <w:rsid w:val="00912BED"/>
    <w:rsid w:val="00920D08"/>
    <w:rsid w:val="009221C0"/>
    <w:rsid w:val="0092314E"/>
    <w:rsid w:val="00926E95"/>
    <w:rsid w:val="009279CF"/>
    <w:rsid w:val="00936236"/>
    <w:rsid w:val="00936282"/>
    <w:rsid w:val="00936568"/>
    <w:rsid w:val="00940457"/>
    <w:rsid w:val="0094049B"/>
    <w:rsid w:val="00940970"/>
    <w:rsid w:val="00942A13"/>
    <w:rsid w:val="0094492B"/>
    <w:rsid w:val="00945C43"/>
    <w:rsid w:val="00946035"/>
    <w:rsid w:val="009461E7"/>
    <w:rsid w:val="00946BAC"/>
    <w:rsid w:val="00946DA1"/>
    <w:rsid w:val="00947D0A"/>
    <w:rsid w:val="00950E0B"/>
    <w:rsid w:val="0095239E"/>
    <w:rsid w:val="00952818"/>
    <w:rsid w:val="00956596"/>
    <w:rsid w:val="009608AB"/>
    <w:rsid w:val="00961077"/>
    <w:rsid w:val="0096547F"/>
    <w:rsid w:val="009658B2"/>
    <w:rsid w:val="00966A6D"/>
    <w:rsid w:val="009707D4"/>
    <w:rsid w:val="00980DF6"/>
    <w:rsid w:val="00981F7B"/>
    <w:rsid w:val="0098610C"/>
    <w:rsid w:val="00990BCA"/>
    <w:rsid w:val="00992B97"/>
    <w:rsid w:val="00992BA3"/>
    <w:rsid w:val="009A140F"/>
    <w:rsid w:val="009A332B"/>
    <w:rsid w:val="009A3887"/>
    <w:rsid w:val="009A7A63"/>
    <w:rsid w:val="009B25C1"/>
    <w:rsid w:val="009B46EF"/>
    <w:rsid w:val="009B5241"/>
    <w:rsid w:val="009B648E"/>
    <w:rsid w:val="009C0591"/>
    <w:rsid w:val="009C2164"/>
    <w:rsid w:val="009C4228"/>
    <w:rsid w:val="009D225C"/>
    <w:rsid w:val="009D35FC"/>
    <w:rsid w:val="009D71B7"/>
    <w:rsid w:val="009E1C7F"/>
    <w:rsid w:val="009E22F0"/>
    <w:rsid w:val="009E2EC6"/>
    <w:rsid w:val="009E7DB5"/>
    <w:rsid w:val="009F288D"/>
    <w:rsid w:val="009F78BC"/>
    <w:rsid w:val="00A01879"/>
    <w:rsid w:val="00A03A83"/>
    <w:rsid w:val="00A04AB3"/>
    <w:rsid w:val="00A07C44"/>
    <w:rsid w:val="00A07CB4"/>
    <w:rsid w:val="00A149C4"/>
    <w:rsid w:val="00A16AB0"/>
    <w:rsid w:val="00A17464"/>
    <w:rsid w:val="00A209A7"/>
    <w:rsid w:val="00A24485"/>
    <w:rsid w:val="00A2696E"/>
    <w:rsid w:val="00A27AB5"/>
    <w:rsid w:val="00A311BA"/>
    <w:rsid w:val="00A322BD"/>
    <w:rsid w:val="00A351C8"/>
    <w:rsid w:val="00A35331"/>
    <w:rsid w:val="00A4098A"/>
    <w:rsid w:val="00A46421"/>
    <w:rsid w:val="00A46684"/>
    <w:rsid w:val="00A46AA8"/>
    <w:rsid w:val="00A46D51"/>
    <w:rsid w:val="00A504DC"/>
    <w:rsid w:val="00A53909"/>
    <w:rsid w:val="00A54E89"/>
    <w:rsid w:val="00A54F85"/>
    <w:rsid w:val="00A562A6"/>
    <w:rsid w:val="00A56F11"/>
    <w:rsid w:val="00A57A98"/>
    <w:rsid w:val="00A60624"/>
    <w:rsid w:val="00A63693"/>
    <w:rsid w:val="00A64291"/>
    <w:rsid w:val="00A67830"/>
    <w:rsid w:val="00A70736"/>
    <w:rsid w:val="00A74368"/>
    <w:rsid w:val="00A82F12"/>
    <w:rsid w:val="00A866FD"/>
    <w:rsid w:val="00A94BE3"/>
    <w:rsid w:val="00A9526A"/>
    <w:rsid w:val="00A96F8F"/>
    <w:rsid w:val="00A9741C"/>
    <w:rsid w:val="00AA5B85"/>
    <w:rsid w:val="00AA7894"/>
    <w:rsid w:val="00AB4665"/>
    <w:rsid w:val="00AC0C88"/>
    <w:rsid w:val="00AC4A95"/>
    <w:rsid w:val="00AC7F0D"/>
    <w:rsid w:val="00AD1561"/>
    <w:rsid w:val="00AD3469"/>
    <w:rsid w:val="00AD35EC"/>
    <w:rsid w:val="00AD5993"/>
    <w:rsid w:val="00AD6ADC"/>
    <w:rsid w:val="00AE4844"/>
    <w:rsid w:val="00AE57F7"/>
    <w:rsid w:val="00AF1BC1"/>
    <w:rsid w:val="00AF2268"/>
    <w:rsid w:val="00AF36DC"/>
    <w:rsid w:val="00AF3CAE"/>
    <w:rsid w:val="00AF678A"/>
    <w:rsid w:val="00AF7433"/>
    <w:rsid w:val="00B0240A"/>
    <w:rsid w:val="00B03B8D"/>
    <w:rsid w:val="00B16452"/>
    <w:rsid w:val="00B20EE0"/>
    <w:rsid w:val="00B24BE0"/>
    <w:rsid w:val="00B27480"/>
    <w:rsid w:val="00B3011E"/>
    <w:rsid w:val="00B344F3"/>
    <w:rsid w:val="00B4151B"/>
    <w:rsid w:val="00B5098D"/>
    <w:rsid w:val="00B55E0F"/>
    <w:rsid w:val="00B61491"/>
    <w:rsid w:val="00B64B23"/>
    <w:rsid w:val="00B66D3E"/>
    <w:rsid w:val="00B72562"/>
    <w:rsid w:val="00B758C9"/>
    <w:rsid w:val="00B86AF7"/>
    <w:rsid w:val="00B90FB0"/>
    <w:rsid w:val="00B93372"/>
    <w:rsid w:val="00B935BF"/>
    <w:rsid w:val="00BA15F1"/>
    <w:rsid w:val="00BA2116"/>
    <w:rsid w:val="00BA670F"/>
    <w:rsid w:val="00BB0C1A"/>
    <w:rsid w:val="00BB57F1"/>
    <w:rsid w:val="00BB779F"/>
    <w:rsid w:val="00BB7BE3"/>
    <w:rsid w:val="00BC2BC7"/>
    <w:rsid w:val="00BC34DE"/>
    <w:rsid w:val="00BC5C5D"/>
    <w:rsid w:val="00BC63A7"/>
    <w:rsid w:val="00BD255A"/>
    <w:rsid w:val="00BD38D0"/>
    <w:rsid w:val="00BE5892"/>
    <w:rsid w:val="00BF0C63"/>
    <w:rsid w:val="00BF18C2"/>
    <w:rsid w:val="00BF3161"/>
    <w:rsid w:val="00BF556C"/>
    <w:rsid w:val="00C01A1E"/>
    <w:rsid w:val="00C02635"/>
    <w:rsid w:val="00C04158"/>
    <w:rsid w:val="00C0650F"/>
    <w:rsid w:val="00C11395"/>
    <w:rsid w:val="00C135DB"/>
    <w:rsid w:val="00C13FF8"/>
    <w:rsid w:val="00C14BFA"/>
    <w:rsid w:val="00C17728"/>
    <w:rsid w:val="00C179EC"/>
    <w:rsid w:val="00C209A7"/>
    <w:rsid w:val="00C25724"/>
    <w:rsid w:val="00C27FA0"/>
    <w:rsid w:val="00C33680"/>
    <w:rsid w:val="00C34B54"/>
    <w:rsid w:val="00C43102"/>
    <w:rsid w:val="00C43F8F"/>
    <w:rsid w:val="00C459D1"/>
    <w:rsid w:val="00C47E24"/>
    <w:rsid w:val="00C53B1E"/>
    <w:rsid w:val="00C55A6F"/>
    <w:rsid w:val="00C57E4A"/>
    <w:rsid w:val="00C62CC1"/>
    <w:rsid w:val="00C74056"/>
    <w:rsid w:val="00C74A0C"/>
    <w:rsid w:val="00C751C3"/>
    <w:rsid w:val="00C80365"/>
    <w:rsid w:val="00C858BE"/>
    <w:rsid w:val="00C90EE5"/>
    <w:rsid w:val="00C93820"/>
    <w:rsid w:val="00C9631F"/>
    <w:rsid w:val="00C965F4"/>
    <w:rsid w:val="00CA3A78"/>
    <w:rsid w:val="00CA6066"/>
    <w:rsid w:val="00CA7C68"/>
    <w:rsid w:val="00CB0236"/>
    <w:rsid w:val="00CB58E6"/>
    <w:rsid w:val="00CB7C1A"/>
    <w:rsid w:val="00CC0678"/>
    <w:rsid w:val="00CC3105"/>
    <w:rsid w:val="00CC3FF6"/>
    <w:rsid w:val="00CC63AA"/>
    <w:rsid w:val="00CC6951"/>
    <w:rsid w:val="00CC78B5"/>
    <w:rsid w:val="00CD071F"/>
    <w:rsid w:val="00CD4C7F"/>
    <w:rsid w:val="00CE0D57"/>
    <w:rsid w:val="00CE266B"/>
    <w:rsid w:val="00CE2D09"/>
    <w:rsid w:val="00CE5C39"/>
    <w:rsid w:val="00CE6FC0"/>
    <w:rsid w:val="00CF20D4"/>
    <w:rsid w:val="00CF2AAA"/>
    <w:rsid w:val="00CF302D"/>
    <w:rsid w:val="00CF67A0"/>
    <w:rsid w:val="00D00A8B"/>
    <w:rsid w:val="00D016AA"/>
    <w:rsid w:val="00D06003"/>
    <w:rsid w:val="00D06131"/>
    <w:rsid w:val="00D0685C"/>
    <w:rsid w:val="00D10A96"/>
    <w:rsid w:val="00D14341"/>
    <w:rsid w:val="00D147EB"/>
    <w:rsid w:val="00D158CF"/>
    <w:rsid w:val="00D15980"/>
    <w:rsid w:val="00D159D7"/>
    <w:rsid w:val="00D220AD"/>
    <w:rsid w:val="00D22485"/>
    <w:rsid w:val="00D22779"/>
    <w:rsid w:val="00D22A6C"/>
    <w:rsid w:val="00D26643"/>
    <w:rsid w:val="00D3237B"/>
    <w:rsid w:val="00D347E5"/>
    <w:rsid w:val="00D34FA6"/>
    <w:rsid w:val="00D37E96"/>
    <w:rsid w:val="00D41AFE"/>
    <w:rsid w:val="00D43301"/>
    <w:rsid w:val="00D4386A"/>
    <w:rsid w:val="00D44622"/>
    <w:rsid w:val="00D44DC5"/>
    <w:rsid w:val="00D46F17"/>
    <w:rsid w:val="00D5158B"/>
    <w:rsid w:val="00D56AA7"/>
    <w:rsid w:val="00D56BEE"/>
    <w:rsid w:val="00D60057"/>
    <w:rsid w:val="00D65E15"/>
    <w:rsid w:val="00D66B66"/>
    <w:rsid w:val="00D67B92"/>
    <w:rsid w:val="00D7172A"/>
    <w:rsid w:val="00D74161"/>
    <w:rsid w:val="00D74B7F"/>
    <w:rsid w:val="00D7515D"/>
    <w:rsid w:val="00D75738"/>
    <w:rsid w:val="00D769B1"/>
    <w:rsid w:val="00D846B0"/>
    <w:rsid w:val="00D84C2D"/>
    <w:rsid w:val="00D85CBB"/>
    <w:rsid w:val="00D86E77"/>
    <w:rsid w:val="00D925D6"/>
    <w:rsid w:val="00D9297D"/>
    <w:rsid w:val="00D96B96"/>
    <w:rsid w:val="00D96FA5"/>
    <w:rsid w:val="00D97359"/>
    <w:rsid w:val="00DA5F14"/>
    <w:rsid w:val="00DA6F6E"/>
    <w:rsid w:val="00DB0BA8"/>
    <w:rsid w:val="00DB1721"/>
    <w:rsid w:val="00DB41A6"/>
    <w:rsid w:val="00DC1825"/>
    <w:rsid w:val="00DC3698"/>
    <w:rsid w:val="00DD1413"/>
    <w:rsid w:val="00DD23D3"/>
    <w:rsid w:val="00DD3A5D"/>
    <w:rsid w:val="00DD759A"/>
    <w:rsid w:val="00DE3A7C"/>
    <w:rsid w:val="00DF1549"/>
    <w:rsid w:val="00DF2D50"/>
    <w:rsid w:val="00DF4E45"/>
    <w:rsid w:val="00DF6944"/>
    <w:rsid w:val="00DF756D"/>
    <w:rsid w:val="00E05E05"/>
    <w:rsid w:val="00E15629"/>
    <w:rsid w:val="00E1642B"/>
    <w:rsid w:val="00E17240"/>
    <w:rsid w:val="00E17542"/>
    <w:rsid w:val="00E22277"/>
    <w:rsid w:val="00E24193"/>
    <w:rsid w:val="00E2495C"/>
    <w:rsid w:val="00E262F1"/>
    <w:rsid w:val="00E267A8"/>
    <w:rsid w:val="00E3087C"/>
    <w:rsid w:val="00E3316C"/>
    <w:rsid w:val="00E33CD1"/>
    <w:rsid w:val="00E33E3F"/>
    <w:rsid w:val="00E368AB"/>
    <w:rsid w:val="00E40168"/>
    <w:rsid w:val="00E40C8F"/>
    <w:rsid w:val="00E417A0"/>
    <w:rsid w:val="00E4583B"/>
    <w:rsid w:val="00E50710"/>
    <w:rsid w:val="00E60382"/>
    <w:rsid w:val="00E616BF"/>
    <w:rsid w:val="00E66D80"/>
    <w:rsid w:val="00E70C68"/>
    <w:rsid w:val="00E7745E"/>
    <w:rsid w:val="00E835E7"/>
    <w:rsid w:val="00E844C6"/>
    <w:rsid w:val="00E84BD8"/>
    <w:rsid w:val="00E90B42"/>
    <w:rsid w:val="00E9584D"/>
    <w:rsid w:val="00EA1B68"/>
    <w:rsid w:val="00EA4384"/>
    <w:rsid w:val="00EA4993"/>
    <w:rsid w:val="00EB0A14"/>
    <w:rsid w:val="00EB18F6"/>
    <w:rsid w:val="00EB1E2F"/>
    <w:rsid w:val="00EB31B2"/>
    <w:rsid w:val="00EB3F16"/>
    <w:rsid w:val="00EB40BA"/>
    <w:rsid w:val="00EB54A1"/>
    <w:rsid w:val="00EB61CC"/>
    <w:rsid w:val="00EB75DA"/>
    <w:rsid w:val="00EC001B"/>
    <w:rsid w:val="00EC1A5F"/>
    <w:rsid w:val="00EC724A"/>
    <w:rsid w:val="00ED131D"/>
    <w:rsid w:val="00ED21AB"/>
    <w:rsid w:val="00ED36AF"/>
    <w:rsid w:val="00ED3C0F"/>
    <w:rsid w:val="00ED4C1B"/>
    <w:rsid w:val="00ED7228"/>
    <w:rsid w:val="00ED7C0E"/>
    <w:rsid w:val="00EE3503"/>
    <w:rsid w:val="00EF0333"/>
    <w:rsid w:val="00EF1D3A"/>
    <w:rsid w:val="00EF76C1"/>
    <w:rsid w:val="00F0787C"/>
    <w:rsid w:val="00F14FC1"/>
    <w:rsid w:val="00F17CAD"/>
    <w:rsid w:val="00F20118"/>
    <w:rsid w:val="00F2020D"/>
    <w:rsid w:val="00F2654B"/>
    <w:rsid w:val="00F279AB"/>
    <w:rsid w:val="00F31F38"/>
    <w:rsid w:val="00F33C9D"/>
    <w:rsid w:val="00F44BE1"/>
    <w:rsid w:val="00F56459"/>
    <w:rsid w:val="00F60B6E"/>
    <w:rsid w:val="00F62437"/>
    <w:rsid w:val="00F6348C"/>
    <w:rsid w:val="00F64C0D"/>
    <w:rsid w:val="00F64FA9"/>
    <w:rsid w:val="00F652C1"/>
    <w:rsid w:val="00F66F92"/>
    <w:rsid w:val="00F700CC"/>
    <w:rsid w:val="00F74343"/>
    <w:rsid w:val="00F76615"/>
    <w:rsid w:val="00F774AD"/>
    <w:rsid w:val="00F80107"/>
    <w:rsid w:val="00F829FB"/>
    <w:rsid w:val="00F855D5"/>
    <w:rsid w:val="00F86052"/>
    <w:rsid w:val="00F86F17"/>
    <w:rsid w:val="00F8781A"/>
    <w:rsid w:val="00F902E0"/>
    <w:rsid w:val="00FA1F56"/>
    <w:rsid w:val="00FA2153"/>
    <w:rsid w:val="00FA58A7"/>
    <w:rsid w:val="00FB5574"/>
    <w:rsid w:val="00FC4384"/>
    <w:rsid w:val="00FC5055"/>
    <w:rsid w:val="00FD1C85"/>
    <w:rsid w:val="00FD3E88"/>
    <w:rsid w:val="00FE0209"/>
    <w:rsid w:val="00FE3D1E"/>
    <w:rsid w:val="00FE7084"/>
    <w:rsid w:val="00FE7FA1"/>
    <w:rsid w:val="01B56ECD"/>
    <w:rsid w:val="01E15E36"/>
    <w:rsid w:val="01F571E8"/>
    <w:rsid w:val="02400A43"/>
    <w:rsid w:val="026659F0"/>
    <w:rsid w:val="02C866AB"/>
    <w:rsid w:val="02F8556B"/>
    <w:rsid w:val="035576CE"/>
    <w:rsid w:val="035B5437"/>
    <w:rsid w:val="0361048A"/>
    <w:rsid w:val="039C11F8"/>
    <w:rsid w:val="03D41080"/>
    <w:rsid w:val="03DC14B6"/>
    <w:rsid w:val="03DF3721"/>
    <w:rsid w:val="04714B20"/>
    <w:rsid w:val="06222A9C"/>
    <w:rsid w:val="0627421D"/>
    <w:rsid w:val="065840FD"/>
    <w:rsid w:val="06822B6B"/>
    <w:rsid w:val="06A65D50"/>
    <w:rsid w:val="0740581E"/>
    <w:rsid w:val="075E75DE"/>
    <w:rsid w:val="08B72F55"/>
    <w:rsid w:val="08EE6740"/>
    <w:rsid w:val="09093579"/>
    <w:rsid w:val="095E714A"/>
    <w:rsid w:val="09A10DA6"/>
    <w:rsid w:val="09F21CE1"/>
    <w:rsid w:val="0A056B75"/>
    <w:rsid w:val="0A7A4E79"/>
    <w:rsid w:val="0AAC0660"/>
    <w:rsid w:val="0ACF79C4"/>
    <w:rsid w:val="0AD2795C"/>
    <w:rsid w:val="0AF2117F"/>
    <w:rsid w:val="0B5E1FD1"/>
    <w:rsid w:val="0B6E3868"/>
    <w:rsid w:val="0B8948BC"/>
    <w:rsid w:val="0B927856"/>
    <w:rsid w:val="0BB65E0B"/>
    <w:rsid w:val="0C120997"/>
    <w:rsid w:val="0C936A06"/>
    <w:rsid w:val="0CAD246E"/>
    <w:rsid w:val="0D31575F"/>
    <w:rsid w:val="0D3B4EB5"/>
    <w:rsid w:val="0D565874"/>
    <w:rsid w:val="0D7F205C"/>
    <w:rsid w:val="0DDA307D"/>
    <w:rsid w:val="0DEE28D7"/>
    <w:rsid w:val="0E5232CD"/>
    <w:rsid w:val="0EB55363"/>
    <w:rsid w:val="0EDD15B7"/>
    <w:rsid w:val="0EF600FC"/>
    <w:rsid w:val="0F090F04"/>
    <w:rsid w:val="0F186B39"/>
    <w:rsid w:val="0F3C5344"/>
    <w:rsid w:val="0F3E106F"/>
    <w:rsid w:val="0F3F5F47"/>
    <w:rsid w:val="0F5961B3"/>
    <w:rsid w:val="1022012B"/>
    <w:rsid w:val="102D2243"/>
    <w:rsid w:val="10360D16"/>
    <w:rsid w:val="10364A44"/>
    <w:rsid w:val="104D184D"/>
    <w:rsid w:val="114532C1"/>
    <w:rsid w:val="11492EA2"/>
    <w:rsid w:val="114A2981"/>
    <w:rsid w:val="11A56D5B"/>
    <w:rsid w:val="11AF37CF"/>
    <w:rsid w:val="11EC3D68"/>
    <w:rsid w:val="12171D39"/>
    <w:rsid w:val="1228487B"/>
    <w:rsid w:val="123260D3"/>
    <w:rsid w:val="129F08EA"/>
    <w:rsid w:val="12D15108"/>
    <w:rsid w:val="12D208D9"/>
    <w:rsid w:val="12E82452"/>
    <w:rsid w:val="12F62DC0"/>
    <w:rsid w:val="13144FF5"/>
    <w:rsid w:val="13454DAC"/>
    <w:rsid w:val="137A57A0"/>
    <w:rsid w:val="139F6FB4"/>
    <w:rsid w:val="145C3106"/>
    <w:rsid w:val="146072ED"/>
    <w:rsid w:val="15033573"/>
    <w:rsid w:val="15512110"/>
    <w:rsid w:val="15546BED"/>
    <w:rsid w:val="15B11B0F"/>
    <w:rsid w:val="15DF7B3C"/>
    <w:rsid w:val="15E869E1"/>
    <w:rsid w:val="161B48EC"/>
    <w:rsid w:val="161D6473"/>
    <w:rsid w:val="16511C85"/>
    <w:rsid w:val="165B44BD"/>
    <w:rsid w:val="16A57605"/>
    <w:rsid w:val="16A912F5"/>
    <w:rsid w:val="16D07030"/>
    <w:rsid w:val="16E054AD"/>
    <w:rsid w:val="174560C4"/>
    <w:rsid w:val="17A728DB"/>
    <w:rsid w:val="17D13BB2"/>
    <w:rsid w:val="17ED5B62"/>
    <w:rsid w:val="18146329"/>
    <w:rsid w:val="1921046B"/>
    <w:rsid w:val="197E58BE"/>
    <w:rsid w:val="19A31619"/>
    <w:rsid w:val="19BA296B"/>
    <w:rsid w:val="19F416DC"/>
    <w:rsid w:val="1AB05F4B"/>
    <w:rsid w:val="1AC1776A"/>
    <w:rsid w:val="1AFD03BA"/>
    <w:rsid w:val="1B0E2C71"/>
    <w:rsid w:val="1B414922"/>
    <w:rsid w:val="1B6C06CA"/>
    <w:rsid w:val="1B9C64F9"/>
    <w:rsid w:val="1BFA25F6"/>
    <w:rsid w:val="1C1F0AD0"/>
    <w:rsid w:val="1C3D6200"/>
    <w:rsid w:val="1C497378"/>
    <w:rsid w:val="1C8A0808"/>
    <w:rsid w:val="1CC61A56"/>
    <w:rsid w:val="1CC90EF2"/>
    <w:rsid w:val="1CFF2872"/>
    <w:rsid w:val="1D1A76AB"/>
    <w:rsid w:val="1DA146C9"/>
    <w:rsid w:val="1DEF5284"/>
    <w:rsid w:val="1DF13F4F"/>
    <w:rsid w:val="1E107F6E"/>
    <w:rsid w:val="1E2B2550"/>
    <w:rsid w:val="1E90231B"/>
    <w:rsid w:val="1E9816B6"/>
    <w:rsid w:val="1EB77BDB"/>
    <w:rsid w:val="1F016D75"/>
    <w:rsid w:val="1F082CE5"/>
    <w:rsid w:val="1F0B1259"/>
    <w:rsid w:val="1F2806C2"/>
    <w:rsid w:val="1FB45A2D"/>
    <w:rsid w:val="201725C8"/>
    <w:rsid w:val="203859CE"/>
    <w:rsid w:val="20846B9F"/>
    <w:rsid w:val="20AF7FAD"/>
    <w:rsid w:val="20BB34F6"/>
    <w:rsid w:val="20FC58D6"/>
    <w:rsid w:val="2108134E"/>
    <w:rsid w:val="213F730F"/>
    <w:rsid w:val="214D05D1"/>
    <w:rsid w:val="21B34E51"/>
    <w:rsid w:val="220B7F0B"/>
    <w:rsid w:val="2210107D"/>
    <w:rsid w:val="223E525B"/>
    <w:rsid w:val="22944046"/>
    <w:rsid w:val="232A3677"/>
    <w:rsid w:val="233B7757"/>
    <w:rsid w:val="2350467A"/>
    <w:rsid w:val="235A6204"/>
    <w:rsid w:val="241D3810"/>
    <w:rsid w:val="24462D04"/>
    <w:rsid w:val="247D6215"/>
    <w:rsid w:val="248E6558"/>
    <w:rsid w:val="249912A2"/>
    <w:rsid w:val="24B50142"/>
    <w:rsid w:val="250A6D32"/>
    <w:rsid w:val="25DD0DC4"/>
    <w:rsid w:val="25F56F08"/>
    <w:rsid w:val="260564DC"/>
    <w:rsid w:val="2613450F"/>
    <w:rsid w:val="26720558"/>
    <w:rsid w:val="26EE148E"/>
    <w:rsid w:val="27664A12"/>
    <w:rsid w:val="28313DEE"/>
    <w:rsid w:val="285A4AF4"/>
    <w:rsid w:val="28E14CDF"/>
    <w:rsid w:val="291A315C"/>
    <w:rsid w:val="29246D2B"/>
    <w:rsid w:val="292C49EE"/>
    <w:rsid w:val="297B6E44"/>
    <w:rsid w:val="29DE36B2"/>
    <w:rsid w:val="29E918A1"/>
    <w:rsid w:val="2A7E571E"/>
    <w:rsid w:val="2A866DCB"/>
    <w:rsid w:val="2AC45370"/>
    <w:rsid w:val="2B0A1D4E"/>
    <w:rsid w:val="2B3E7992"/>
    <w:rsid w:val="2B404781"/>
    <w:rsid w:val="2B9D6077"/>
    <w:rsid w:val="2BB23375"/>
    <w:rsid w:val="2C1D4AC2"/>
    <w:rsid w:val="2C5C1A8E"/>
    <w:rsid w:val="2C9E1FFB"/>
    <w:rsid w:val="2CA25DE5"/>
    <w:rsid w:val="2CC2654B"/>
    <w:rsid w:val="2DA82AB1"/>
    <w:rsid w:val="2DCC62A5"/>
    <w:rsid w:val="2DCF4FF1"/>
    <w:rsid w:val="2E0852FA"/>
    <w:rsid w:val="2E502DC6"/>
    <w:rsid w:val="2E6966E5"/>
    <w:rsid w:val="2E725599"/>
    <w:rsid w:val="2EC50501"/>
    <w:rsid w:val="2EDE5AAB"/>
    <w:rsid w:val="2EE06191"/>
    <w:rsid w:val="2EEE7860"/>
    <w:rsid w:val="2F266384"/>
    <w:rsid w:val="2F283EAA"/>
    <w:rsid w:val="2F875CE2"/>
    <w:rsid w:val="2F8D7F02"/>
    <w:rsid w:val="304068BA"/>
    <w:rsid w:val="30D32C5B"/>
    <w:rsid w:val="31030518"/>
    <w:rsid w:val="313872AA"/>
    <w:rsid w:val="32171FB4"/>
    <w:rsid w:val="322F72FD"/>
    <w:rsid w:val="328D25DB"/>
    <w:rsid w:val="329D36D6"/>
    <w:rsid w:val="329E25C1"/>
    <w:rsid w:val="330B12A9"/>
    <w:rsid w:val="332734B3"/>
    <w:rsid w:val="333B5E69"/>
    <w:rsid w:val="3350450F"/>
    <w:rsid w:val="335F1CAB"/>
    <w:rsid w:val="337D7173"/>
    <w:rsid w:val="33A70C7C"/>
    <w:rsid w:val="33B835ED"/>
    <w:rsid w:val="34FE664D"/>
    <w:rsid w:val="353558D8"/>
    <w:rsid w:val="354D1FAD"/>
    <w:rsid w:val="35984A3F"/>
    <w:rsid w:val="35F00009"/>
    <w:rsid w:val="36364A10"/>
    <w:rsid w:val="36657FCA"/>
    <w:rsid w:val="36946EA9"/>
    <w:rsid w:val="377D13C7"/>
    <w:rsid w:val="37AE1A91"/>
    <w:rsid w:val="385201EA"/>
    <w:rsid w:val="3862042D"/>
    <w:rsid w:val="38BF587F"/>
    <w:rsid w:val="38CF6043"/>
    <w:rsid w:val="390A58BB"/>
    <w:rsid w:val="394065AC"/>
    <w:rsid w:val="39B637EC"/>
    <w:rsid w:val="39D07618"/>
    <w:rsid w:val="3A035551"/>
    <w:rsid w:val="3A51719F"/>
    <w:rsid w:val="3ADE4A86"/>
    <w:rsid w:val="3B732F87"/>
    <w:rsid w:val="3C7B643C"/>
    <w:rsid w:val="3C9D07FF"/>
    <w:rsid w:val="3CE12104"/>
    <w:rsid w:val="3D0D60A1"/>
    <w:rsid w:val="3D137B25"/>
    <w:rsid w:val="3D8712F6"/>
    <w:rsid w:val="3D956BAE"/>
    <w:rsid w:val="3DE73182"/>
    <w:rsid w:val="3DF6228E"/>
    <w:rsid w:val="3E1E3500"/>
    <w:rsid w:val="3EC23263"/>
    <w:rsid w:val="3F56429A"/>
    <w:rsid w:val="3F6D6236"/>
    <w:rsid w:val="3FAC58EE"/>
    <w:rsid w:val="3FB113D4"/>
    <w:rsid w:val="401A0871"/>
    <w:rsid w:val="40300E10"/>
    <w:rsid w:val="405B04D4"/>
    <w:rsid w:val="40890B4D"/>
    <w:rsid w:val="408B20B7"/>
    <w:rsid w:val="41384420"/>
    <w:rsid w:val="426E79CE"/>
    <w:rsid w:val="42781CFD"/>
    <w:rsid w:val="43497B64"/>
    <w:rsid w:val="43682CA4"/>
    <w:rsid w:val="436A4639"/>
    <w:rsid w:val="43923C20"/>
    <w:rsid w:val="43F04997"/>
    <w:rsid w:val="44B47BC3"/>
    <w:rsid w:val="44C939EF"/>
    <w:rsid w:val="455D2F46"/>
    <w:rsid w:val="456B6447"/>
    <w:rsid w:val="45D10D87"/>
    <w:rsid w:val="45FC404F"/>
    <w:rsid w:val="460A7715"/>
    <w:rsid w:val="460D2839"/>
    <w:rsid w:val="46B563A9"/>
    <w:rsid w:val="46C47037"/>
    <w:rsid w:val="46E42549"/>
    <w:rsid w:val="46EF4D27"/>
    <w:rsid w:val="474358CD"/>
    <w:rsid w:val="47726F16"/>
    <w:rsid w:val="477912EF"/>
    <w:rsid w:val="47C6421B"/>
    <w:rsid w:val="47E02C74"/>
    <w:rsid w:val="481132D5"/>
    <w:rsid w:val="4823125B"/>
    <w:rsid w:val="484E3154"/>
    <w:rsid w:val="488C3E72"/>
    <w:rsid w:val="48B52FCC"/>
    <w:rsid w:val="49084FED"/>
    <w:rsid w:val="49350C9F"/>
    <w:rsid w:val="49981C7C"/>
    <w:rsid w:val="4A075B71"/>
    <w:rsid w:val="4A0846EE"/>
    <w:rsid w:val="4A0C3795"/>
    <w:rsid w:val="4A3D4856"/>
    <w:rsid w:val="4A4F6337"/>
    <w:rsid w:val="4A513E5D"/>
    <w:rsid w:val="4A6D3C51"/>
    <w:rsid w:val="4A84767E"/>
    <w:rsid w:val="4B2E7959"/>
    <w:rsid w:val="4B69602F"/>
    <w:rsid w:val="4BAF316E"/>
    <w:rsid w:val="4BEA4569"/>
    <w:rsid w:val="4BEE156E"/>
    <w:rsid w:val="4C382619"/>
    <w:rsid w:val="4C602A7D"/>
    <w:rsid w:val="4D2A40E0"/>
    <w:rsid w:val="4D6C2472"/>
    <w:rsid w:val="4D752558"/>
    <w:rsid w:val="4DBE3EFF"/>
    <w:rsid w:val="4E4906F8"/>
    <w:rsid w:val="4E706752"/>
    <w:rsid w:val="4EA2112B"/>
    <w:rsid w:val="4EC5306C"/>
    <w:rsid w:val="4F9B059D"/>
    <w:rsid w:val="50574928"/>
    <w:rsid w:val="510C08F5"/>
    <w:rsid w:val="510C4F82"/>
    <w:rsid w:val="514725D6"/>
    <w:rsid w:val="516A1CA8"/>
    <w:rsid w:val="52077375"/>
    <w:rsid w:val="52E97480"/>
    <w:rsid w:val="533105E5"/>
    <w:rsid w:val="53471590"/>
    <w:rsid w:val="53553B74"/>
    <w:rsid w:val="5368753B"/>
    <w:rsid w:val="5480227C"/>
    <w:rsid w:val="548A67AA"/>
    <w:rsid w:val="54A76E41"/>
    <w:rsid w:val="54B8063D"/>
    <w:rsid w:val="54B814E6"/>
    <w:rsid w:val="54EE6540"/>
    <w:rsid w:val="559D43FA"/>
    <w:rsid w:val="566F0D4B"/>
    <w:rsid w:val="57197EBC"/>
    <w:rsid w:val="57436E8D"/>
    <w:rsid w:val="576E219E"/>
    <w:rsid w:val="577E665C"/>
    <w:rsid w:val="57AE2723"/>
    <w:rsid w:val="57B16F40"/>
    <w:rsid w:val="5812316E"/>
    <w:rsid w:val="582F7230"/>
    <w:rsid w:val="58842799"/>
    <w:rsid w:val="588806A0"/>
    <w:rsid w:val="58CA384E"/>
    <w:rsid w:val="59355FC3"/>
    <w:rsid w:val="59A120E1"/>
    <w:rsid w:val="59DF46C5"/>
    <w:rsid w:val="59E15D5C"/>
    <w:rsid w:val="5A346617"/>
    <w:rsid w:val="5A893A3E"/>
    <w:rsid w:val="5ACE7EB4"/>
    <w:rsid w:val="5ADA0928"/>
    <w:rsid w:val="5B1F60A1"/>
    <w:rsid w:val="5BBB1A7E"/>
    <w:rsid w:val="5C076AF5"/>
    <w:rsid w:val="5C245001"/>
    <w:rsid w:val="5C702010"/>
    <w:rsid w:val="5D595A4A"/>
    <w:rsid w:val="5D5E2A6D"/>
    <w:rsid w:val="5D785F45"/>
    <w:rsid w:val="5D7872DE"/>
    <w:rsid w:val="5DB03524"/>
    <w:rsid w:val="5E45474A"/>
    <w:rsid w:val="5E4F4700"/>
    <w:rsid w:val="5E6957C1"/>
    <w:rsid w:val="5E8034A2"/>
    <w:rsid w:val="5E8D6895"/>
    <w:rsid w:val="5F1D0763"/>
    <w:rsid w:val="5F417E99"/>
    <w:rsid w:val="5F6069D5"/>
    <w:rsid w:val="5FAF18FA"/>
    <w:rsid w:val="5FBF1411"/>
    <w:rsid w:val="60256D51"/>
    <w:rsid w:val="60A36AF4"/>
    <w:rsid w:val="60AB0C37"/>
    <w:rsid w:val="60CD22A0"/>
    <w:rsid w:val="619D39D4"/>
    <w:rsid w:val="61B87723"/>
    <w:rsid w:val="6220088D"/>
    <w:rsid w:val="625C5D48"/>
    <w:rsid w:val="62E95123"/>
    <w:rsid w:val="63036478"/>
    <w:rsid w:val="63047DA9"/>
    <w:rsid w:val="63772C4E"/>
    <w:rsid w:val="639332E1"/>
    <w:rsid w:val="6393733A"/>
    <w:rsid w:val="63997C0B"/>
    <w:rsid w:val="63D43AF1"/>
    <w:rsid w:val="63D748EB"/>
    <w:rsid w:val="63DE1A37"/>
    <w:rsid w:val="63FE33B6"/>
    <w:rsid w:val="642918FB"/>
    <w:rsid w:val="642F01B4"/>
    <w:rsid w:val="64F72EA2"/>
    <w:rsid w:val="65004C42"/>
    <w:rsid w:val="65467734"/>
    <w:rsid w:val="655F4444"/>
    <w:rsid w:val="65887ABB"/>
    <w:rsid w:val="65982891"/>
    <w:rsid w:val="659C52AD"/>
    <w:rsid w:val="65E51CB7"/>
    <w:rsid w:val="65EB7404"/>
    <w:rsid w:val="662A08F5"/>
    <w:rsid w:val="6685272F"/>
    <w:rsid w:val="668B78A4"/>
    <w:rsid w:val="669F620F"/>
    <w:rsid w:val="66A23D7D"/>
    <w:rsid w:val="66A456FB"/>
    <w:rsid w:val="66B06F8E"/>
    <w:rsid w:val="66B41B84"/>
    <w:rsid w:val="66C8504F"/>
    <w:rsid w:val="66D52415"/>
    <w:rsid w:val="66E702AC"/>
    <w:rsid w:val="671C6E46"/>
    <w:rsid w:val="672F697E"/>
    <w:rsid w:val="675C3383"/>
    <w:rsid w:val="6778688E"/>
    <w:rsid w:val="67D00FF5"/>
    <w:rsid w:val="683B40C3"/>
    <w:rsid w:val="686B7203"/>
    <w:rsid w:val="68806041"/>
    <w:rsid w:val="689E25EE"/>
    <w:rsid w:val="68AC1D48"/>
    <w:rsid w:val="68B940CC"/>
    <w:rsid w:val="68DC65D6"/>
    <w:rsid w:val="68E80A0C"/>
    <w:rsid w:val="68FE744E"/>
    <w:rsid w:val="699B20FD"/>
    <w:rsid w:val="69C54B4D"/>
    <w:rsid w:val="6A815C41"/>
    <w:rsid w:val="6AA55F17"/>
    <w:rsid w:val="6AA87672"/>
    <w:rsid w:val="6AAC05F2"/>
    <w:rsid w:val="6ABC68A9"/>
    <w:rsid w:val="6B960BEF"/>
    <w:rsid w:val="6C070A94"/>
    <w:rsid w:val="6C135840"/>
    <w:rsid w:val="6C841A18"/>
    <w:rsid w:val="6CA703A3"/>
    <w:rsid w:val="6CC2656C"/>
    <w:rsid w:val="6CF52916"/>
    <w:rsid w:val="6CF546C4"/>
    <w:rsid w:val="6D194857"/>
    <w:rsid w:val="6D72538E"/>
    <w:rsid w:val="6DF4750B"/>
    <w:rsid w:val="6E2E60E0"/>
    <w:rsid w:val="6E5F273D"/>
    <w:rsid w:val="6E6F5FD1"/>
    <w:rsid w:val="6E767BAF"/>
    <w:rsid w:val="6F056FAE"/>
    <w:rsid w:val="6F0C1BBE"/>
    <w:rsid w:val="6F5074C1"/>
    <w:rsid w:val="6FD2104B"/>
    <w:rsid w:val="6FF13DA0"/>
    <w:rsid w:val="701B513D"/>
    <w:rsid w:val="70752AB8"/>
    <w:rsid w:val="70A13EE9"/>
    <w:rsid w:val="70D72A5F"/>
    <w:rsid w:val="717E737E"/>
    <w:rsid w:val="71941407"/>
    <w:rsid w:val="71C64991"/>
    <w:rsid w:val="71F146FA"/>
    <w:rsid w:val="72276200"/>
    <w:rsid w:val="72441D49"/>
    <w:rsid w:val="729B2E6D"/>
    <w:rsid w:val="72A526E9"/>
    <w:rsid w:val="72C85F76"/>
    <w:rsid w:val="730E667C"/>
    <w:rsid w:val="73441CC9"/>
    <w:rsid w:val="73A11102"/>
    <w:rsid w:val="7468779E"/>
    <w:rsid w:val="751E5BB9"/>
    <w:rsid w:val="759301F0"/>
    <w:rsid w:val="75B415C0"/>
    <w:rsid w:val="765E152C"/>
    <w:rsid w:val="767059A9"/>
    <w:rsid w:val="76B32CD4"/>
    <w:rsid w:val="77122A29"/>
    <w:rsid w:val="77803575"/>
    <w:rsid w:val="778E2876"/>
    <w:rsid w:val="779C3DCF"/>
    <w:rsid w:val="77A458E3"/>
    <w:rsid w:val="77FE760F"/>
    <w:rsid w:val="781A4035"/>
    <w:rsid w:val="78393E77"/>
    <w:rsid w:val="788039DC"/>
    <w:rsid w:val="789361F5"/>
    <w:rsid w:val="78A376CA"/>
    <w:rsid w:val="78FB5758"/>
    <w:rsid w:val="79A350C4"/>
    <w:rsid w:val="79A454A8"/>
    <w:rsid w:val="79B64824"/>
    <w:rsid w:val="7A181388"/>
    <w:rsid w:val="7A3F1E38"/>
    <w:rsid w:val="7A5A4C05"/>
    <w:rsid w:val="7A955F05"/>
    <w:rsid w:val="7ABF087A"/>
    <w:rsid w:val="7B0D654F"/>
    <w:rsid w:val="7B136D89"/>
    <w:rsid w:val="7B3C605A"/>
    <w:rsid w:val="7B4F465D"/>
    <w:rsid w:val="7B7B75B2"/>
    <w:rsid w:val="7C041228"/>
    <w:rsid w:val="7C5E5259"/>
    <w:rsid w:val="7C855A65"/>
    <w:rsid w:val="7C92113E"/>
    <w:rsid w:val="7CF06519"/>
    <w:rsid w:val="7CF41502"/>
    <w:rsid w:val="7D2955BD"/>
    <w:rsid w:val="7D386ED1"/>
    <w:rsid w:val="7D3C3BE5"/>
    <w:rsid w:val="7D483596"/>
    <w:rsid w:val="7D7124B5"/>
    <w:rsid w:val="7DB61442"/>
    <w:rsid w:val="7DF71799"/>
    <w:rsid w:val="7E13212B"/>
    <w:rsid w:val="7E244EA5"/>
    <w:rsid w:val="7E644FC7"/>
    <w:rsid w:val="7E6C665B"/>
    <w:rsid w:val="7E8F3473"/>
    <w:rsid w:val="7F657D9F"/>
    <w:rsid w:val="7F7C2C58"/>
    <w:rsid w:val="7FC469EB"/>
    <w:rsid w:val="7FC70160"/>
    <w:rsid w:val="7FEE1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 w:asciiTheme="minorHAnsi" w:hAnsiTheme="minorHAnsi" w:cstheme="minorBidi"/>
      <w:kern w:val="2"/>
      <w:sz w:val="32"/>
      <w:szCs w:val="22"/>
      <w:lang w:val="en-US" w:eastAsia="zh-CN" w:bidi="ar-SA"/>
    </w:rPr>
  </w:style>
  <w:style w:type="paragraph" w:styleId="3">
    <w:name w:val="heading 1"/>
    <w:basedOn w:val="1"/>
    <w:next w:val="1"/>
    <w:link w:val="35"/>
    <w:qFormat/>
    <w:uiPriority w:val="9"/>
    <w:pPr>
      <w:keepNext/>
      <w:keepLines/>
      <w:spacing w:line="560" w:lineRule="exact"/>
      <w:ind w:firstLine="472" w:firstLineChars="200"/>
      <w:outlineLvl w:val="0"/>
    </w:pPr>
    <w:rPr>
      <w:rFonts w:eastAsia="黑体"/>
      <w:b/>
      <w:bCs/>
      <w:kern w:val="44"/>
      <w:szCs w:val="44"/>
    </w:rPr>
  </w:style>
  <w:style w:type="paragraph" w:styleId="4">
    <w:name w:val="heading 2"/>
    <w:basedOn w:val="1"/>
    <w:next w:val="1"/>
    <w:link w:val="33"/>
    <w:unhideWhenUsed/>
    <w:qFormat/>
    <w:uiPriority w:val="9"/>
    <w:pPr>
      <w:keepNext/>
      <w:keepLines/>
      <w:spacing w:line="560" w:lineRule="exact"/>
      <w:ind w:firstLine="354" w:firstLineChars="150"/>
      <w:outlineLvl w:val="1"/>
    </w:pPr>
    <w:rPr>
      <w:rFonts w:eastAsia="楷体" w:asciiTheme="majorHAnsi" w:hAnsiTheme="majorHAnsi" w:cstheme="majorBidi"/>
      <w:bCs/>
      <w:szCs w:val="32"/>
    </w:rPr>
  </w:style>
  <w:style w:type="paragraph" w:styleId="5">
    <w:name w:val="heading 3"/>
    <w:basedOn w:val="1"/>
    <w:next w:val="1"/>
    <w:link w:val="36"/>
    <w:unhideWhenUsed/>
    <w:qFormat/>
    <w:uiPriority w:val="0"/>
    <w:pPr>
      <w:keepNext/>
      <w:keepLines/>
      <w:spacing w:before="260" w:after="260" w:line="416" w:lineRule="auto"/>
      <w:outlineLvl w:val="2"/>
    </w:pPr>
    <w:rPr>
      <w:b/>
      <w:bCs/>
      <w:szCs w:val="32"/>
    </w:rPr>
  </w:style>
  <w:style w:type="paragraph" w:styleId="6">
    <w:name w:val="heading 4"/>
    <w:basedOn w:val="1"/>
    <w:next w:val="1"/>
    <w:semiHidden/>
    <w:unhideWhenUsed/>
    <w:qFormat/>
    <w:uiPriority w:val="9"/>
    <w:pPr>
      <w:keepNext/>
      <w:keepLines/>
      <w:spacing w:before="280" w:after="290" w:line="372" w:lineRule="auto"/>
      <w:outlineLvl w:val="3"/>
    </w:pPr>
    <w:rPr>
      <w:rFonts w:ascii="Arial" w:hAnsi="Arial" w:eastAsia="黑体"/>
      <w:b/>
      <w:sz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No Spacing"/>
    <w:basedOn w:val="1"/>
    <w:qFormat/>
    <w:uiPriority w:val="0"/>
    <w:pPr>
      <w:widowControl w:val="0"/>
      <w:ind w:firstLine="200" w:firstLineChars="200"/>
      <w:jc w:val="both"/>
    </w:pPr>
    <w:rPr>
      <w:rFonts w:eastAsia="仿宋"/>
      <w:kern w:val="2"/>
      <w:sz w:val="30"/>
      <w:szCs w:val="24"/>
      <w:lang w:val="en-US" w:eastAsia="zh-CN" w:bidi="ar-SA"/>
    </w:rPr>
  </w:style>
  <w:style w:type="paragraph" w:styleId="7">
    <w:name w:val="Normal Indent"/>
    <w:basedOn w:val="1"/>
    <w:qFormat/>
    <w:uiPriority w:val="0"/>
    <w:pPr>
      <w:snapToGrid w:val="0"/>
      <w:spacing w:line="300" w:lineRule="auto"/>
      <w:ind w:firstLine="556"/>
    </w:pPr>
    <w:rPr>
      <w:rFonts w:ascii="仿宋_GB2312" w:eastAsia="仿宋_GB2312"/>
      <w:sz w:val="28"/>
    </w:rPr>
  </w:style>
  <w:style w:type="paragraph" w:styleId="8">
    <w:name w:val="annotation text"/>
    <w:basedOn w:val="1"/>
    <w:link w:val="41"/>
    <w:semiHidden/>
    <w:unhideWhenUsed/>
    <w:qFormat/>
    <w:uiPriority w:val="99"/>
    <w:pPr>
      <w:jc w:val="left"/>
    </w:pPr>
  </w:style>
  <w:style w:type="paragraph" w:styleId="9">
    <w:name w:val="Body Text"/>
    <w:basedOn w:val="1"/>
    <w:link w:val="44"/>
    <w:qFormat/>
    <w:uiPriority w:val="1"/>
    <w:pPr>
      <w:spacing w:line="600" w:lineRule="exact"/>
      <w:ind w:firstLine="883" w:firstLineChars="200"/>
      <w:jc w:val="left"/>
    </w:pPr>
    <w:rPr>
      <w:rFonts w:ascii="仿宋" w:hAnsi="仿宋" w:cs="仿宋"/>
      <w:szCs w:val="32"/>
      <w:lang w:val="zh-CN" w:bidi="zh-CN"/>
    </w:rPr>
  </w:style>
  <w:style w:type="paragraph" w:styleId="10">
    <w:name w:val="Body Text Indent"/>
    <w:basedOn w:val="1"/>
    <w:semiHidden/>
    <w:unhideWhenUsed/>
    <w:qFormat/>
    <w:uiPriority w:val="99"/>
    <w:pPr>
      <w:spacing w:after="120"/>
      <w:ind w:left="420" w:leftChars="200"/>
    </w:pPr>
  </w:style>
  <w:style w:type="paragraph" w:styleId="11">
    <w:name w:val="toc 3"/>
    <w:basedOn w:val="1"/>
    <w:next w:val="1"/>
    <w:unhideWhenUsed/>
    <w:qFormat/>
    <w:uiPriority w:val="39"/>
    <w:pPr>
      <w:ind w:left="840" w:leftChars="400"/>
    </w:pPr>
  </w:style>
  <w:style w:type="paragraph" w:styleId="12">
    <w:name w:val="Plain Text"/>
    <w:basedOn w:val="1"/>
    <w:qFormat/>
    <w:uiPriority w:val="0"/>
    <w:rPr>
      <w:rFonts w:ascii="宋体" w:hAnsi="Courier New" w:cs="Courier New"/>
      <w:szCs w:val="21"/>
    </w:rPr>
  </w:style>
  <w:style w:type="paragraph" w:styleId="13">
    <w:name w:val="Date"/>
    <w:basedOn w:val="1"/>
    <w:next w:val="1"/>
    <w:link w:val="40"/>
    <w:semiHidden/>
    <w:unhideWhenUsed/>
    <w:qFormat/>
    <w:uiPriority w:val="99"/>
    <w:pPr>
      <w:ind w:left="100" w:leftChars="2500"/>
    </w:pPr>
  </w:style>
  <w:style w:type="paragraph" w:styleId="14">
    <w:name w:val="Balloon Text"/>
    <w:basedOn w:val="1"/>
    <w:link w:val="37"/>
    <w:semiHidden/>
    <w:unhideWhenUsed/>
    <w:qFormat/>
    <w:uiPriority w:val="99"/>
    <w:rPr>
      <w:sz w:val="18"/>
      <w:szCs w:val="18"/>
    </w:rPr>
  </w:style>
  <w:style w:type="paragraph" w:styleId="15">
    <w:name w:val="footer"/>
    <w:basedOn w:val="1"/>
    <w:link w:val="32"/>
    <w:unhideWhenUsed/>
    <w:qFormat/>
    <w:uiPriority w:val="99"/>
    <w:pPr>
      <w:tabs>
        <w:tab w:val="center" w:pos="4153"/>
        <w:tab w:val="right" w:pos="8306"/>
      </w:tabs>
      <w:snapToGrid w:val="0"/>
      <w:jc w:val="left"/>
    </w:pPr>
    <w:rPr>
      <w:sz w:val="18"/>
      <w:szCs w:val="18"/>
    </w:rPr>
  </w:style>
  <w:style w:type="paragraph" w:styleId="16">
    <w:name w:val="header"/>
    <w:basedOn w:val="1"/>
    <w:next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eastAsia="黑体"/>
    </w:rPr>
  </w:style>
  <w:style w:type="paragraph" w:styleId="18">
    <w:name w:val="toc 2"/>
    <w:basedOn w:val="1"/>
    <w:next w:val="1"/>
    <w:unhideWhenUsed/>
    <w:qFormat/>
    <w:uiPriority w:val="39"/>
    <w:pPr>
      <w:ind w:left="474" w:leftChars="150"/>
    </w:pPr>
    <w:rPr>
      <w:rFonts w:ascii="Times New Roman" w:hAnsi="Times New Roman" w:eastAsia="楷体"/>
    </w:rPr>
  </w:style>
  <w:style w:type="paragraph" w:styleId="19">
    <w:name w:val="Normal (Web)"/>
    <w:basedOn w:val="1"/>
    <w:semiHidden/>
    <w:unhideWhenUsed/>
    <w:qFormat/>
    <w:uiPriority w:val="99"/>
    <w:pPr>
      <w:spacing w:beforeAutospacing="1" w:afterAutospacing="1"/>
      <w:jc w:val="left"/>
    </w:pPr>
    <w:rPr>
      <w:rFonts w:cs="Times New Roman"/>
      <w:kern w:val="0"/>
      <w:sz w:val="24"/>
    </w:rPr>
  </w:style>
  <w:style w:type="paragraph" w:styleId="20">
    <w:name w:val="annotation subject"/>
    <w:basedOn w:val="8"/>
    <w:next w:val="8"/>
    <w:link w:val="42"/>
    <w:semiHidden/>
    <w:unhideWhenUsed/>
    <w:qFormat/>
    <w:uiPriority w:val="99"/>
    <w:rPr>
      <w:b/>
      <w:bCs/>
    </w:rPr>
  </w:style>
  <w:style w:type="paragraph" w:styleId="21">
    <w:name w:val="Body Text First Indent 2"/>
    <w:basedOn w:val="10"/>
    <w:semiHidden/>
    <w:unhideWhenUsed/>
    <w:qFormat/>
    <w:uiPriority w:val="99"/>
    <w:pPr>
      <w:ind w:firstLine="420" w:firstLineChars="200"/>
    </w:p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rPr>
  </w:style>
  <w:style w:type="character" w:styleId="26">
    <w:name w:val="FollowedHyperlink"/>
    <w:basedOn w:val="24"/>
    <w:semiHidden/>
    <w:unhideWhenUsed/>
    <w:qFormat/>
    <w:uiPriority w:val="99"/>
    <w:rPr>
      <w:color w:val="800080"/>
      <w:u w:val="none"/>
    </w:rPr>
  </w:style>
  <w:style w:type="character" w:styleId="27">
    <w:name w:val="Emphasis"/>
    <w:basedOn w:val="24"/>
    <w:qFormat/>
    <w:uiPriority w:val="20"/>
    <w:rPr>
      <w:i/>
      <w:iCs/>
    </w:rPr>
  </w:style>
  <w:style w:type="character" w:styleId="28">
    <w:name w:val="Hyperlink"/>
    <w:basedOn w:val="24"/>
    <w:unhideWhenUsed/>
    <w:qFormat/>
    <w:uiPriority w:val="99"/>
    <w:rPr>
      <w:color w:val="0563C1" w:themeColor="hyperlink"/>
      <w:u w:val="single"/>
      <w14:textFill>
        <w14:solidFill>
          <w14:schemeClr w14:val="hlink"/>
        </w14:solidFill>
      </w14:textFill>
    </w:rPr>
  </w:style>
  <w:style w:type="character" w:styleId="29">
    <w:name w:val="annotation reference"/>
    <w:basedOn w:val="24"/>
    <w:semiHidden/>
    <w:unhideWhenUsed/>
    <w:qFormat/>
    <w:uiPriority w:val="99"/>
    <w:rPr>
      <w:sz w:val="21"/>
      <w:szCs w:val="21"/>
    </w:rPr>
  </w:style>
  <w:style w:type="paragraph" w:customStyle="1" w:styleId="30">
    <w:name w:val="正文-公1"/>
    <w:basedOn w:val="1"/>
    <w:next w:val="16"/>
    <w:qFormat/>
    <w:uiPriority w:val="99"/>
    <w:pPr>
      <w:ind w:firstLine="200" w:firstLineChars="200"/>
    </w:pPr>
    <w:rPr>
      <w:color w:val="000000"/>
    </w:rPr>
  </w:style>
  <w:style w:type="character" w:customStyle="1" w:styleId="31">
    <w:name w:val="页眉 字符"/>
    <w:basedOn w:val="24"/>
    <w:link w:val="16"/>
    <w:qFormat/>
    <w:uiPriority w:val="99"/>
    <w:rPr>
      <w:sz w:val="18"/>
      <w:szCs w:val="18"/>
    </w:rPr>
  </w:style>
  <w:style w:type="character" w:customStyle="1" w:styleId="32">
    <w:name w:val="页脚 字符"/>
    <w:basedOn w:val="24"/>
    <w:link w:val="15"/>
    <w:qFormat/>
    <w:uiPriority w:val="99"/>
    <w:rPr>
      <w:sz w:val="18"/>
      <w:szCs w:val="18"/>
    </w:rPr>
  </w:style>
  <w:style w:type="character" w:customStyle="1" w:styleId="33">
    <w:name w:val="标题 2 字符"/>
    <w:basedOn w:val="24"/>
    <w:link w:val="4"/>
    <w:qFormat/>
    <w:uiPriority w:val="99"/>
    <w:rPr>
      <w:rFonts w:eastAsia="楷体" w:asciiTheme="majorHAnsi" w:hAnsiTheme="majorHAnsi" w:cstheme="majorBidi"/>
      <w:bCs/>
      <w:sz w:val="32"/>
      <w:szCs w:val="32"/>
    </w:rPr>
  </w:style>
  <w:style w:type="paragraph" w:customStyle="1" w:styleId="34">
    <w:name w:val="无间隔1"/>
    <w:qFormat/>
    <w:uiPriority w:val="99"/>
    <w:rPr>
      <w:rFonts w:ascii="Calibri" w:hAnsi="Calibri" w:eastAsia="宋体" w:cs="Calibri"/>
      <w:kern w:val="2"/>
      <w:sz w:val="21"/>
      <w:szCs w:val="21"/>
      <w:lang w:val="en-US" w:eastAsia="zh-CN" w:bidi="ar-SA"/>
    </w:rPr>
  </w:style>
  <w:style w:type="character" w:customStyle="1" w:styleId="35">
    <w:name w:val="标题 1 字符"/>
    <w:basedOn w:val="24"/>
    <w:link w:val="3"/>
    <w:qFormat/>
    <w:uiPriority w:val="9"/>
    <w:rPr>
      <w:rFonts w:eastAsia="黑体" w:asciiTheme="minorHAnsi" w:hAnsiTheme="minorHAnsi"/>
      <w:b/>
      <w:bCs/>
      <w:kern w:val="44"/>
      <w:sz w:val="32"/>
      <w:szCs w:val="44"/>
    </w:rPr>
  </w:style>
  <w:style w:type="character" w:customStyle="1" w:styleId="36">
    <w:name w:val="标题 3 字符"/>
    <w:basedOn w:val="24"/>
    <w:link w:val="5"/>
    <w:qFormat/>
    <w:uiPriority w:val="9"/>
    <w:rPr>
      <w:b/>
      <w:bCs/>
      <w:sz w:val="32"/>
      <w:szCs w:val="32"/>
    </w:rPr>
  </w:style>
  <w:style w:type="character" w:customStyle="1" w:styleId="37">
    <w:name w:val="批注框文本 字符"/>
    <w:basedOn w:val="24"/>
    <w:link w:val="14"/>
    <w:semiHidden/>
    <w:qFormat/>
    <w:uiPriority w:val="99"/>
    <w:rPr>
      <w:sz w:val="18"/>
      <w:szCs w:val="18"/>
    </w:rPr>
  </w:style>
  <w:style w:type="paragraph" w:customStyle="1" w:styleId="38">
    <w:name w:val="TOC 标题1"/>
    <w:basedOn w:val="3"/>
    <w:next w:val="1"/>
    <w:unhideWhenUsed/>
    <w:qFormat/>
    <w:uiPriority w:val="39"/>
    <w:pPr>
      <w:widowControl/>
      <w:spacing w:before="240" w:line="259" w:lineRule="auto"/>
      <w:jc w:val="left"/>
      <w:outlineLvl w:val="9"/>
    </w:pPr>
    <w:rPr>
      <w:rFonts w:asciiTheme="majorHAnsi" w:hAnsiTheme="majorHAnsi" w:eastAsiaTheme="majorEastAsia" w:cstheme="majorBidi"/>
      <w:b w:val="0"/>
      <w:bCs w:val="0"/>
      <w:color w:val="2F5597" w:themeColor="accent1" w:themeShade="BF"/>
      <w:kern w:val="0"/>
      <w:szCs w:val="32"/>
    </w:rPr>
  </w:style>
  <w:style w:type="paragraph" w:styleId="39">
    <w:name w:val="List Paragraph"/>
    <w:basedOn w:val="1"/>
    <w:qFormat/>
    <w:uiPriority w:val="99"/>
    <w:pPr>
      <w:ind w:firstLine="420" w:firstLineChars="200"/>
    </w:pPr>
  </w:style>
  <w:style w:type="character" w:customStyle="1" w:styleId="40">
    <w:name w:val="日期 字符"/>
    <w:basedOn w:val="24"/>
    <w:link w:val="13"/>
    <w:semiHidden/>
    <w:qFormat/>
    <w:uiPriority w:val="99"/>
    <w:rPr>
      <w:kern w:val="2"/>
      <w:sz w:val="21"/>
      <w:szCs w:val="22"/>
    </w:rPr>
  </w:style>
  <w:style w:type="character" w:customStyle="1" w:styleId="41">
    <w:name w:val="批注文字 字符"/>
    <w:basedOn w:val="24"/>
    <w:link w:val="8"/>
    <w:semiHidden/>
    <w:qFormat/>
    <w:uiPriority w:val="99"/>
    <w:rPr>
      <w:rFonts w:asciiTheme="minorHAnsi" w:hAnsiTheme="minorHAnsi" w:eastAsiaTheme="minorEastAsia" w:cstheme="minorBidi"/>
      <w:kern w:val="2"/>
      <w:sz w:val="21"/>
      <w:szCs w:val="22"/>
    </w:rPr>
  </w:style>
  <w:style w:type="character" w:customStyle="1" w:styleId="42">
    <w:name w:val="批注主题 字符"/>
    <w:basedOn w:val="41"/>
    <w:link w:val="20"/>
    <w:semiHidden/>
    <w:qFormat/>
    <w:uiPriority w:val="99"/>
    <w:rPr>
      <w:rFonts w:asciiTheme="minorHAnsi" w:hAnsiTheme="minorHAnsi" w:eastAsiaTheme="minorEastAsia" w:cstheme="minorBidi"/>
      <w:b/>
      <w:bCs/>
      <w:kern w:val="2"/>
      <w:sz w:val="21"/>
      <w:szCs w:val="22"/>
    </w:rPr>
  </w:style>
  <w:style w:type="paragraph" w:customStyle="1" w:styleId="43">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44">
    <w:name w:val="正文文本 字符"/>
    <w:basedOn w:val="24"/>
    <w:link w:val="9"/>
    <w:qFormat/>
    <w:uiPriority w:val="1"/>
    <w:rPr>
      <w:rFonts w:ascii="仿宋" w:hAnsi="仿宋" w:eastAsia="仿宋" w:cs="仿宋"/>
      <w:kern w:val="2"/>
      <w:sz w:val="32"/>
      <w:szCs w:val="32"/>
      <w:lang w:val="zh-CN" w:bidi="zh-CN"/>
    </w:rPr>
  </w:style>
  <w:style w:type="character" w:customStyle="1" w:styleId="45">
    <w:name w:val="标题 2 Char1"/>
    <w:qFormat/>
    <w:uiPriority w:val="0"/>
    <w:rPr>
      <w:rFonts w:ascii="Arial" w:hAnsi="Arial" w:eastAsia="方正仿宋_GBK"/>
      <w:sz w:val="32"/>
    </w:rPr>
  </w:style>
  <w:style w:type="character" w:customStyle="1" w:styleId="46">
    <w:name w:val="标题 3 Char"/>
    <w:qFormat/>
    <w:uiPriority w:val="0"/>
    <w:rPr>
      <w:rFonts w:ascii="Calibri" w:hAnsi="Calibri" w:eastAsia="宋体"/>
      <w:bCs/>
      <w:sz w:val="24"/>
      <w:szCs w:val="32"/>
    </w:rPr>
  </w:style>
  <w:style w:type="paragraph" w:customStyle="1" w:styleId="47">
    <w:name w:val="Table Paragraph"/>
    <w:basedOn w:val="1"/>
    <w:qFormat/>
    <w:uiPriority w:val="1"/>
  </w:style>
  <w:style w:type="paragraph" w:customStyle="1" w:styleId="48">
    <w:name w:val="一级标题"/>
    <w:basedOn w:val="4"/>
    <w:next w:val="1"/>
    <w:qFormat/>
    <w:uiPriority w:val="0"/>
    <w:pPr>
      <w:spacing w:line="600" w:lineRule="exact"/>
      <w:outlineLvl w:val="0"/>
    </w:pPr>
    <w:rPr>
      <w:rFonts w:ascii="Arial" w:hAnsi="Arial" w:eastAsia="黑体" w:cs="Times New Roman"/>
      <w:bCs w:val="0"/>
      <w:szCs w:val="20"/>
    </w:rPr>
  </w:style>
  <w:style w:type="paragraph" w:customStyle="1" w:styleId="49">
    <w:name w:val="p0"/>
    <w:basedOn w:val="1"/>
    <w:unhideWhenUsed/>
    <w:qFormat/>
    <w:uiPriority w:val="0"/>
    <w:pPr>
      <w:widowControl/>
      <w:jc w:val="left"/>
    </w:pPr>
    <w:rPr>
      <w:rFonts w:hint="eastAsia" w:ascii="Times New Roman" w:hAnsi="Times New Roman"/>
      <w:sz w:val="20"/>
    </w:rPr>
  </w:style>
  <w:style w:type="character" w:customStyle="1" w:styleId="50">
    <w:name w:val="font01"/>
    <w:basedOn w:val="24"/>
    <w:qFormat/>
    <w:uiPriority w:val="0"/>
    <w:rPr>
      <w:rFonts w:hint="eastAsia" w:ascii="宋体" w:hAnsi="宋体" w:eastAsia="宋体" w:cs="宋体"/>
      <w:color w:val="000000"/>
      <w:sz w:val="22"/>
      <w:szCs w:val="22"/>
      <w:u w:val="none"/>
    </w:rPr>
  </w:style>
  <w:style w:type="character" w:customStyle="1" w:styleId="51">
    <w:name w:val="font21"/>
    <w:basedOn w:val="24"/>
    <w:qFormat/>
    <w:uiPriority w:val="0"/>
    <w:rPr>
      <w:rFonts w:hint="eastAsia" w:ascii="宋体" w:hAnsi="宋体" w:eastAsia="宋体" w:cs="宋体"/>
      <w:color w:val="FF0000"/>
      <w:sz w:val="22"/>
      <w:szCs w:val="22"/>
      <w:u w:val="none"/>
    </w:rPr>
  </w:style>
  <w:style w:type="character" w:customStyle="1" w:styleId="52">
    <w:name w:val="font11"/>
    <w:basedOn w:val="24"/>
    <w:qFormat/>
    <w:uiPriority w:val="0"/>
    <w:rPr>
      <w:rFonts w:hint="eastAsia" w:ascii="宋体" w:hAnsi="宋体" w:eastAsia="宋体" w:cs="宋体"/>
      <w:color w:val="000000"/>
      <w:sz w:val="22"/>
      <w:szCs w:val="22"/>
      <w:u w:val="none"/>
    </w:rPr>
  </w:style>
  <w:style w:type="character" w:customStyle="1" w:styleId="53">
    <w:name w:val="font31"/>
    <w:basedOn w:val="24"/>
    <w:qFormat/>
    <w:uiPriority w:val="0"/>
    <w:rPr>
      <w:rFonts w:hint="eastAsia" w:ascii="宋体" w:hAnsi="宋体" w:eastAsia="宋体" w:cs="宋体"/>
      <w:b/>
      <w:bCs/>
      <w:color w:val="000000"/>
      <w:sz w:val="20"/>
      <w:szCs w:val="20"/>
      <w:u w:val="none"/>
    </w:rPr>
  </w:style>
  <w:style w:type="character" w:customStyle="1" w:styleId="54">
    <w:name w:val="font61"/>
    <w:basedOn w:val="24"/>
    <w:qFormat/>
    <w:uiPriority w:val="0"/>
    <w:rPr>
      <w:rFonts w:hint="default" w:ascii="Arial Narrow" w:hAnsi="Arial Narrow" w:eastAsia="Arial Narrow" w:cs="Arial Narrow"/>
      <w:color w:val="000000"/>
      <w:sz w:val="20"/>
      <w:szCs w:val="20"/>
      <w:u w:val="none"/>
    </w:rPr>
  </w:style>
  <w:style w:type="character" w:customStyle="1" w:styleId="55">
    <w:name w:val="font81"/>
    <w:basedOn w:val="2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FFD89A-E256-4C5F-BC41-1B0DB24D79B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3266</Words>
  <Characters>3591</Characters>
  <Lines>494</Lines>
  <Paragraphs>425</Paragraphs>
  <TotalTime>3</TotalTime>
  <ScaleCrop>false</ScaleCrop>
  <LinksUpToDate>false</LinksUpToDate>
  <CharactersWithSpaces>3649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2020-07-29T06:50:00Z</dcterms:created>
  <dc:creator>斯炜 陶</dc:creator>
  <cp:lastModifiedBy>CU❤I</cp:lastModifiedBy>
  <cp:lastPrinted>2023-11-25T02:32:00Z</cp:lastPrinted>
  <dcterms:modified xsi:type="dcterms:W3CDTF">2025-09-11T02:49:23Z</dcterms:modified>
  <dc:title>项目支出绩效评价报告</dc:title>
  <cp:revision>355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04AF02439C1F4F84BDB82B3BA9241179_13</vt:lpwstr>
  </property>
  <property fmtid="{D5CDD505-2E9C-101B-9397-08002B2CF9AE}" pid="4" name="KSOTemplateDocerSaveRecord">
    <vt:lpwstr>eyJoZGlkIjoiYTVhYjU5MDE0YmJjODU5OTliYmJmOGJjNWFmODcxYmEiLCJ1c2VySWQiOiI0MjUyNDYwNzAifQ==</vt:lpwstr>
  </property>
</Properties>
</file>