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36180">
      <w:pPr>
        <w:overflowPunct w:val="0"/>
        <w:autoSpaceDE w:val="0"/>
        <w:autoSpaceDN w:val="0"/>
        <w:spacing w:line="432" w:lineRule="atLeast"/>
        <w:ind w:left="426" w:leftChars="135"/>
        <w:rPr>
          <w:rStyle w:val="46"/>
          <w:rFonts w:ascii="Times New Roman" w:hAnsi="Times New Roman"/>
          <w:highlight w:val="none"/>
        </w:rPr>
      </w:pPr>
    </w:p>
    <w:p w14:paraId="3B4712EB">
      <w:pPr>
        <w:overflowPunct w:val="0"/>
        <w:autoSpaceDE w:val="0"/>
        <w:autoSpaceDN w:val="0"/>
        <w:spacing w:line="432" w:lineRule="atLeast"/>
        <w:ind w:left="426" w:leftChars="135"/>
        <w:rPr>
          <w:rStyle w:val="46"/>
          <w:rFonts w:ascii="Times New Roman" w:hAnsi="Times New Roman"/>
          <w:highlight w:val="none"/>
        </w:rPr>
      </w:pPr>
    </w:p>
    <w:p w14:paraId="7293CAB2">
      <w:pPr>
        <w:overflowPunct w:val="0"/>
        <w:autoSpaceDE w:val="0"/>
        <w:autoSpaceDN w:val="0"/>
        <w:spacing w:line="560" w:lineRule="exact"/>
        <w:jc w:val="center"/>
        <w:rPr>
          <w:rFonts w:hint="eastAsia" w:ascii="Times New Roman" w:hAnsi="Times New Roman" w:eastAsia="方正小标宋_GBK" w:cs="方正小标宋_GBK"/>
          <w:color w:val="000000"/>
          <w:kern w:val="0"/>
          <w:sz w:val="36"/>
          <w:szCs w:val="36"/>
          <w:highlight w:val="none"/>
        </w:rPr>
      </w:pPr>
      <w:r>
        <w:rPr>
          <w:rFonts w:hint="eastAsia" w:ascii="Times New Roman" w:hAnsi="Times New Roman" w:eastAsia="方正小标宋_GBK" w:cs="方正小标宋_GBK"/>
          <w:color w:val="000000"/>
          <w:kern w:val="0"/>
          <w:sz w:val="36"/>
          <w:szCs w:val="36"/>
          <w:highlight w:val="none"/>
          <w:lang w:val="en-US" w:eastAsia="zh-CN"/>
        </w:rPr>
        <w:t>2024年</w:t>
      </w:r>
      <w:r>
        <w:rPr>
          <w:rFonts w:hint="eastAsia" w:ascii="Times New Roman" w:hAnsi="Times New Roman" w:eastAsia="方正小标宋_GBK" w:cs="方正小标宋_GBK"/>
          <w:color w:val="000000"/>
          <w:kern w:val="0"/>
          <w:sz w:val="36"/>
          <w:szCs w:val="36"/>
          <w:highlight w:val="none"/>
          <w:lang w:eastAsia="zh-CN"/>
        </w:rPr>
        <w:t>黄石市下陆区卫生健康局</w:t>
      </w:r>
      <w:r>
        <w:rPr>
          <w:rFonts w:hint="eastAsia" w:ascii="Times New Roman" w:hAnsi="Times New Roman" w:eastAsia="方正小标宋_GBK" w:cs="方正小标宋_GBK"/>
          <w:color w:val="000000"/>
          <w:kern w:val="0"/>
          <w:sz w:val="36"/>
          <w:szCs w:val="36"/>
          <w:highlight w:val="none"/>
        </w:rPr>
        <w:t>部门整体支出</w:t>
      </w:r>
    </w:p>
    <w:p w14:paraId="7CA029D6">
      <w:pPr>
        <w:overflowPunct w:val="0"/>
        <w:autoSpaceDE w:val="0"/>
        <w:autoSpaceDN w:val="0"/>
        <w:spacing w:line="560" w:lineRule="exact"/>
        <w:jc w:val="center"/>
        <w:rPr>
          <w:rFonts w:ascii="Times New Roman" w:hAnsi="Times New Roman" w:eastAsia="方正小标宋_GBK" w:cs="方正小标宋_GBK"/>
          <w:color w:val="000000"/>
          <w:kern w:val="0"/>
          <w:sz w:val="36"/>
          <w:szCs w:val="36"/>
          <w:highlight w:val="none"/>
        </w:rPr>
      </w:pPr>
      <w:r>
        <w:rPr>
          <w:rFonts w:hint="eastAsia" w:ascii="Times New Roman" w:hAnsi="Times New Roman" w:eastAsia="方正小标宋_GBK" w:cs="方正小标宋_GBK"/>
          <w:color w:val="000000"/>
          <w:kern w:val="0"/>
          <w:sz w:val="36"/>
          <w:szCs w:val="36"/>
          <w:highlight w:val="none"/>
        </w:rPr>
        <w:t>绩效评价报告</w:t>
      </w:r>
    </w:p>
    <w:p w14:paraId="2771FBBE">
      <w:pPr>
        <w:overflowPunct w:val="0"/>
        <w:autoSpaceDE w:val="0"/>
        <w:autoSpaceDN w:val="0"/>
        <w:spacing w:line="560" w:lineRule="exact"/>
        <w:jc w:val="center"/>
        <w:rPr>
          <w:rFonts w:ascii="Times New Roman" w:hAnsi="Times New Roman" w:eastAsia="方正小标宋_GBK" w:cs="方正小标宋_GBK"/>
          <w:color w:val="000000"/>
          <w:kern w:val="0"/>
          <w:sz w:val="52"/>
          <w:szCs w:val="52"/>
          <w:highlight w:val="none"/>
        </w:rPr>
      </w:pPr>
    </w:p>
    <w:p w14:paraId="7BCB73C0">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47249532">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617C7029">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07DC43CD">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77743F0F">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2AE7C05D">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7DE7BC4B">
      <w:pPr>
        <w:pStyle w:val="6"/>
        <w:overflowPunct w:val="0"/>
        <w:autoSpaceDE w:val="0"/>
        <w:autoSpaceDN w:val="0"/>
        <w:rPr>
          <w:rFonts w:ascii="Times New Roman" w:hAnsi="Times New Roman"/>
          <w:highlight w:val="none"/>
        </w:rPr>
      </w:pPr>
    </w:p>
    <w:tbl>
      <w:tblPr>
        <w:tblStyle w:val="2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50"/>
        <w:gridCol w:w="433"/>
        <w:gridCol w:w="5690"/>
      </w:tblGrid>
      <w:tr w14:paraId="76221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350" w:type="dxa"/>
            <w:tcBorders>
              <w:tl2br w:val="nil"/>
              <w:tr2bl w:val="nil"/>
            </w:tcBorders>
            <w:vAlign w:val="center"/>
          </w:tcPr>
          <w:p w14:paraId="3E2F7C90">
            <w:pPr>
              <w:overflowPunct w:val="0"/>
              <w:autoSpaceDE w:val="0"/>
              <w:autoSpaceDN w:val="0"/>
              <w:rPr>
                <w:rFonts w:ascii="Times New Roman" w:hAnsi="Times New Roman" w:eastAsia="宋体" w:cs="宋体"/>
                <w:color w:val="000000"/>
                <w:kern w:val="0"/>
                <w:sz w:val="24"/>
                <w:szCs w:val="24"/>
                <w:highlight w:val="none"/>
              </w:rPr>
            </w:pPr>
            <w:r>
              <w:rPr>
                <w:rFonts w:hint="eastAsia" w:ascii="Times New Roman" w:hAnsi="Times New Roman" w:eastAsia="黑体" w:cs="黑体"/>
                <w:color w:val="000000"/>
                <w:kern w:val="0"/>
                <w:sz w:val="24"/>
                <w:szCs w:val="24"/>
                <w:highlight w:val="none"/>
              </w:rPr>
              <w:t>报告名称：</w:t>
            </w:r>
          </w:p>
        </w:tc>
        <w:tc>
          <w:tcPr>
            <w:tcW w:w="6123" w:type="dxa"/>
            <w:gridSpan w:val="2"/>
            <w:tcBorders>
              <w:bottom w:val="single" w:color="auto" w:sz="4" w:space="0"/>
            </w:tcBorders>
            <w:vAlign w:val="center"/>
          </w:tcPr>
          <w:p w14:paraId="3ECA68C5">
            <w:pPr>
              <w:overflowPunct w:val="0"/>
              <w:autoSpaceDE w:val="0"/>
              <w:autoSpaceDN w:val="0"/>
              <w:rPr>
                <w:rFonts w:ascii="Times New Roman" w:hAnsi="Times New Roman" w:eastAsia="黑体" w:cs="宋体"/>
                <w:color w:val="000000"/>
                <w:kern w:val="0"/>
                <w:sz w:val="24"/>
                <w:szCs w:val="24"/>
                <w:highlight w:val="none"/>
              </w:rPr>
            </w:pPr>
            <w:r>
              <w:rPr>
                <w:rFonts w:hint="eastAsia" w:ascii="Times New Roman" w:hAnsi="Times New Roman" w:eastAsia="黑体" w:cs="黑体"/>
                <w:color w:val="000000"/>
                <w:kern w:val="0"/>
                <w:sz w:val="24"/>
                <w:szCs w:val="24"/>
                <w:highlight w:val="none"/>
              </w:rPr>
              <w:t>2024年</w:t>
            </w:r>
            <w:r>
              <w:rPr>
                <w:rFonts w:hint="eastAsia" w:ascii="Times New Roman" w:hAnsi="Times New Roman" w:eastAsia="黑体" w:cs="黑体"/>
                <w:color w:val="000000"/>
                <w:kern w:val="0"/>
                <w:sz w:val="24"/>
                <w:szCs w:val="24"/>
                <w:highlight w:val="none"/>
                <w:lang w:eastAsia="zh-CN"/>
              </w:rPr>
              <w:t>黄石市下陆区卫生健康局</w:t>
            </w:r>
            <w:r>
              <w:rPr>
                <w:rFonts w:hint="eastAsia" w:ascii="Times New Roman" w:hAnsi="Times New Roman" w:eastAsia="黑体" w:cs="黑体"/>
                <w:color w:val="000000"/>
                <w:kern w:val="0"/>
                <w:sz w:val="24"/>
                <w:szCs w:val="24"/>
                <w:highlight w:val="none"/>
              </w:rPr>
              <w:t>部门整体支出绩效评价</w:t>
            </w:r>
          </w:p>
        </w:tc>
      </w:tr>
      <w:tr w14:paraId="59676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350" w:type="dxa"/>
            <w:tcBorders>
              <w:tl2br w:val="nil"/>
              <w:tr2bl w:val="nil"/>
            </w:tcBorders>
            <w:vAlign w:val="center"/>
          </w:tcPr>
          <w:p w14:paraId="154649DD">
            <w:pPr>
              <w:overflowPunct w:val="0"/>
              <w:autoSpaceDE w:val="0"/>
              <w:autoSpaceDN w:val="0"/>
              <w:rPr>
                <w:rFonts w:ascii="Times New Roman" w:hAnsi="Times New Roman" w:eastAsia="宋体" w:cs="宋体"/>
                <w:color w:val="000000"/>
                <w:kern w:val="0"/>
                <w:sz w:val="24"/>
                <w:szCs w:val="24"/>
                <w:highlight w:val="none"/>
              </w:rPr>
            </w:pPr>
            <w:r>
              <w:rPr>
                <w:rFonts w:hint="eastAsia" w:ascii="Times New Roman" w:hAnsi="Times New Roman" w:eastAsia="黑体" w:cs="黑体"/>
                <w:color w:val="000000"/>
                <w:kern w:val="0"/>
                <w:sz w:val="24"/>
                <w:szCs w:val="24"/>
                <w:highlight w:val="none"/>
              </w:rPr>
              <w:t>预算部门：</w:t>
            </w:r>
          </w:p>
        </w:tc>
        <w:tc>
          <w:tcPr>
            <w:tcW w:w="6123" w:type="dxa"/>
            <w:gridSpan w:val="2"/>
            <w:tcBorders>
              <w:top w:val="single" w:color="auto" w:sz="4" w:space="0"/>
              <w:bottom w:val="single" w:color="auto" w:sz="4" w:space="0"/>
            </w:tcBorders>
            <w:vAlign w:val="center"/>
          </w:tcPr>
          <w:p w14:paraId="448C6765">
            <w:pPr>
              <w:overflowPunct w:val="0"/>
              <w:autoSpaceDE w:val="0"/>
              <w:autoSpaceDN w:val="0"/>
              <w:rPr>
                <w:rFonts w:ascii="Times New Roman" w:hAnsi="Times New Roman" w:eastAsia="宋体" w:cs="宋体"/>
                <w:color w:val="000000"/>
                <w:kern w:val="0"/>
                <w:sz w:val="24"/>
                <w:szCs w:val="24"/>
                <w:highlight w:val="none"/>
              </w:rPr>
            </w:pPr>
            <w:r>
              <w:rPr>
                <w:rFonts w:hint="eastAsia" w:ascii="Times New Roman" w:hAnsi="Times New Roman" w:eastAsia="黑体" w:cs="黑体"/>
                <w:color w:val="000000"/>
                <w:kern w:val="0"/>
                <w:sz w:val="24"/>
                <w:szCs w:val="24"/>
                <w:highlight w:val="none"/>
                <w:lang w:eastAsia="zh-CN"/>
              </w:rPr>
              <w:t>黄石市下陆区卫生健康局</w:t>
            </w:r>
            <w:r>
              <w:rPr>
                <w:rFonts w:hint="eastAsia" w:ascii="Times New Roman" w:hAnsi="Times New Roman" w:eastAsia="黑体" w:cs="黑体"/>
                <w:color w:val="000000"/>
                <w:kern w:val="0"/>
                <w:sz w:val="24"/>
                <w:szCs w:val="24"/>
                <w:highlight w:val="none"/>
              </w:rPr>
              <w:t xml:space="preserve"> </w:t>
            </w:r>
          </w:p>
        </w:tc>
      </w:tr>
      <w:tr w14:paraId="4F2A5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350" w:type="dxa"/>
            <w:tcBorders>
              <w:tl2br w:val="nil"/>
              <w:tr2bl w:val="nil"/>
            </w:tcBorders>
            <w:vAlign w:val="center"/>
          </w:tcPr>
          <w:p w14:paraId="6F9F76B4">
            <w:pPr>
              <w:overflowPunct w:val="0"/>
              <w:autoSpaceDE w:val="0"/>
              <w:autoSpaceDN w:val="0"/>
              <w:rPr>
                <w:rFonts w:ascii="Times New Roman" w:hAnsi="Times New Roman" w:eastAsia="宋体" w:cs="宋体"/>
                <w:color w:val="000000"/>
                <w:kern w:val="0"/>
                <w:sz w:val="24"/>
                <w:szCs w:val="24"/>
                <w:highlight w:val="none"/>
              </w:rPr>
            </w:pPr>
            <w:r>
              <w:rPr>
                <w:rFonts w:hint="eastAsia" w:ascii="Times New Roman" w:hAnsi="Times New Roman" w:eastAsia="黑体" w:cs="黑体"/>
                <w:color w:val="000000"/>
                <w:kern w:val="0"/>
                <w:sz w:val="24"/>
                <w:szCs w:val="24"/>
                <w:highlight w:val="none"/>
              </w:rPr>
              <w:t>预算年度：</w:t>
            </w:r>
          </w:p>
        </w:tc>
        <w:tc>
          <w:tcPr>
            <w:tcW w:w="6123" w:type="dxa"/>
            <w:gridSpan w:val="2"/>
            <w:tcBorders>
              <w:top w:val="single" w:color="auto" w:sz="4" w:space="0"/>
              <w:bottom w:val="single" w:color="auto" w:sz="4" w:space="0"/>
            </w:tcBorders>
            <w:vAlign w:val="center"/>
          </w:tcPr>
          <w:p w14:paraId="5399D26C">
            <w:pPr>
              <w:overflowPunct w:val="0"/>
              <w:autoSpaceDE w:val="0"/>
              <w:autoSpaceDN w:val="0"/>
              <w:rPr>
                <w:rFonts w:ascii="Times New Roman" w:hAnsi="Times New Roman" w:eastAsia="宋体" w:cs="宋体"/>
                <w:color w:val="000000"/>
                <w:kern w:val="0"/>
                <w:sz w:val="24"/>
                <w:szCs w:val="24"/>
                <w:highlight w:val="none"/>
              </w:rPr>
            </w:pPr>
            <w:r>
              <w:rPr>
                <w:rFonts w:hint="eastAsia" w:ascii="Times New Roman" w:hAnsi="Times New Roman" w:eastAsia="黑体" w:cs="黑体"/>
                <w:color w:val="000000"/>
                <w:kern w:val="0"/>
                <w:sz w:val="24"/>
                <w:szCs w:val="24"/>
                <w:highlight w:val="none"/>
              </w:rPr>
              <w:t xml:space="preserve">2024年度                                    </w:t>
            </w:r>
          </w:p>
        </w:tc>
      </w:tr>
      <w:tr w14:paraId="02EA0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350" w:type="dxa"/>
            <w:tcBorders>
              <w:tl2br w:val="nil"/>
              <w:tr2bl w:val="nil"/>
            </w:tcBorders>
            <w:vAlign w:val="center"/>
          </w:tcPr>
          <w:p w14:paraId="273D4081">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rPr>
              <w:t>评价类型：</w:t>
            </w:r>
          </w:p>
        </w:tc>
        <w:tc>
          <w:tcPr>
            <w:tcW w:w="6123" w:type="dxa"/>
            <w:gridSpan w:val="2"/>
            <w:tcBorders>
              <w:top w:val="single" w:color="auto" w:sz="4" w:space="0"/>
              <w:bottom w:val="single" w:color="auto" w:sz="4" w:space="0"/>
              <w:tl2br w:val="nil"/>
              <w:tr2bl w:val="nil"/>
            </w:tcBorders>
            <w:vAlign w:val="center"/>
          </w:tcPr>
          <w:p w14:paraId="73E0675B">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rPr>
              <w:t>项目</w:t>
            </w:r>
            <w:r>
              <w:rPr>
                <w:rFonts w:hint="eastAsia" w:ascii="Times New Roman" w:hAnsi="Times New Roman" w:eastAsia="黑体" w:cs="黑体"/>
                <w:color w:val="000000"/>
                <w:kern w:val="0"/>
                <w:sz w:val="24"/>
                <w:szCs w:val="24"/>
                <w:highlight w:val="none"/>
              </w:rPr>
              <w:sym w:font="Wingdings 2" w:char="00A3"/>
            </w:r>
            <w:r>
              <w:rPr>
                <w:rFonts w:hint="eastAsia" w:ascii="Times New Roman" w:hAnsi="Times New Roman" w:eastAsia="黑体" w:cs="黑体"/>
                <w:color w:val="000000"/>
                <w:kern w:val="0"/>
                <w:sz w:val="24"/>
                <w:szCs w:val="24"/>
                <w:highlight w:val="none"/>
              </w:rPr>
              <w:t>　　 政策</w:t>
            </w:r>
            <w:r>
              <w:rPr>
                <w:rFonts w:hint="eastAsia" w:ascii="Times New Roman" w:hAnsi="Times New Roman" w:eastAsia="黑体" w:cs="黑体"/>
                <w:color w:val="000000"/>
                <w:kern w:val="0"/>
                <w:sz w:val="24"/>
                <w:szCs w:val="24"/>
                <w:highlight w:val="none"/>
              </w:rPr>
              <w:sym w:font="Wingdings 2" w:char="00A3"/>
            </w:r>
            <w:r>
              <w:rPr>
                <w:rFonts w:hint="eastAsia" w:ascii="Times New Roman" w:hAnsi="Times New Roman" w:eastAsia="黑体" w:cs="黑体"/>
                <w:color w:val="000000"/>
                <w:kern w:val="0"/>
                <w:sz w:val="24"/>
                <w:szCs w:val="24"/>
                <w:highlight w:val="none"/>
              </w:rPr>
              <w:t>　　部门整体</w:t>
            </w:r>
            <w:r>
              <w:rPr>
                <w:rFonts w:hint="eastAsia" w:ascii="Times New Roman" w:hAnsi="Times New Roman" w:eastAsia="黑体" w:cs="黑体"/>
                <w:color w:val="000000"/>
                <w:kern w:val="0"/>
                <w:sz w:val="24"/>
                <w:szCs w:val="24"/>
                <w:highlight w:val="none"/>
              </w:rPr>
              <w:sym w:font="Wingdings 2" w:char="0052"/>
            </w:r>
          </w:p>
        </w:tc>
      </w:tr>
      <w:tr w14:paraId="0E06C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350" w:type="dxa"/>
            <w:vAlign w:val="center"/>
          </w:tcPr>
          <w:p w14:paraId="681DD2EA">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rPr>
              <w:t>评价单位：</w:t>
            </w:r>
          </w:p>
        </w:tc>
        <w:tc>
          <w:tcPr>
            <w:tcW w:w="6123" w:type="dxa"/>
            <w:gridSpan w:val="2"/>
            <w:tcBorders>
              <w:top w:val="single" w:color="auto" w:sz="4" w:space="0"/>
              <w:bottom w:val="single" w:color="auto" w:sz="4" w:space="0"/>
            </w:tcBorders>
            <w:vAlign w:val="center"/>
          </w:tcPr>
          <w:p w14:paraId="5B31513F">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lang w:eastAsia="zh-CN"/>
              </w:rPr>
              <w:t>湖北永九星房地产资产评估有限公司</w:t>
            </w:r>
          </w:p>
        </w:tc>
      </w:tr>
      <w:tr w14:paraId="5EFEA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783" w:type="dxa"/>
            <w:gridSpan w:val="2"/>
            <w:vAlign w:val="center"/>
          </w:tcPr>
          <w:p w14:paraId="0859ADD2">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rPr>
              <w:t>正式提交日期：</w:t>
            </w:r>
          </w:p>
        </w:tc>
        <w:tc>
          <w:tcPr>
            <w:tcW w:w="5690" w:type="dxa"/>
            <w:tcBorders>
              <w:bottom w:val="single" w:color="auto" w:sz="4" w:space="0"/>
            </w:tcBorders>
            <w:vAlign w:val="center"/>
          </w:tcPr>
          <w:p w14:paraId="736E068F">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rPr>
              <w:t>2025年</w:t>
            </w:r>
            <w:r>
              <w:rPr>
                <w:rFonts w:hint="eastAsia" w:ascii="Times New Roman" w:hAnsi="Times New Roman" w:eastAsia="黑体" w:cs="黑体"/>
                <w:color w:val="000000"/>
                <w:kern w:val="0"/>
                <w:sz w:val="24"/>
                <w:szCs w:val="24"/>
                <w:highlight w:val="none"/>
                <w:lang w:val="en-US" w:eastAsia="zh-CN"/>
              </w:rPr>
              <w:t>8</w:t>
            </w:r>
            <w:r>
              <w:rPr>
                <w:rFonts w:hint="eastAsia" w:ascii="Times New Roman" w:hAnsi="Times New Roman" w:eastAsia="黑体" w:cs="黑体"/>
                <w:color w:val="000000"/>
                <w:kern w:val="0"/>
                <w:sz w:val="24"/>
                <w:szCs w:val="24"/>
                <w:highlight w:val="none"/>
              </w:rPr>
              <w:t>月</w:t>
            </w:r>
          </w:p>
        </w:tc>
      </w:tr>
    </w:tbl>
    <w:p w14:paraId="6990EC4A">
      <w:pPr>
        <w:overflowPunct w:val="0"/>
        <w:autoSpaceDE w:val="0"/>
        <w:autoSpaceDN w:val="0"/>
        <w:spacing w:line="552" w:lineRule="atLeast"/>
        <w:ind w:firstLine="1652" w:firstLineChars="700"/>
        <w:rPr>
          <w:rFonts w:ascii="Times New Roman" w:hAnsi="Times New Roman" w:eastAsia="黑体" w:cs="黑体"/>
          <w:color w:val="000000"/>
          <w:kern w:val="0"/>
          <w:sz w:val="24"/>
          <w:szCs w:val="24"/>
          <w:highlight w:val="none"/>
        </w:rPr>
      </w:pPr>
    </w:p>
    <w:p w14:paraId="77C5B808">
      <w:pPr>
        <w:overflowPunct w:val="0"/>
        <w:autoSpaceDE w:val="0"/>
        <w:autoSpaceDN w:val="0"/>
        <w:jc w:val="left"/>
        <w:rPr>
          <w:rFonts w:ascii="Times New Roman" w:hAnsi="Times New Roman" w:eastAsia="黑体" w:cs="黑体"/>
          <w:sz w:val="44"/>
          <w:szCs w:val="44"/>
          <w:highlight w:val="none"/>
        </w:rPr>
        <w:sectPr>
          <w:headerReference r:id="rId3" w:type="default"/>
          <w:headerReference r:id="rId4" w:type="even"/>
          <w:pgSz w:w="11906" w:h="16838"/>
          <w:pgMar w:top="1417" w:right="1247" w:bottom="1417" w:left="1587" w:header="1134" w:footer="1134" w:gutter="0"/>
          <w:pgNumType w:fmt="decimal" w:start="1"/>
          <w:cols w:space="0" w:num="1"/>
          <w:docGrid w:type="linesAndChars" w:linePitch="580" w:charSpace="-1024"/>
        </w:sectPr>
      </w:pPr>
    </w:p>
    <w:p w14:paraId="77321359">
      <w:pPr>
        <w:overflowPunct w:val="0"/>
        <w:autoSpaceDE w:val="0"/>
        <w:autoSpaceDN w:val="0"/>
        <w:spacing w:line="360" w:lineRule="auto"/>
        <w:jc w:val="center"/>
        <w:rPr>
          <w:rFonts w:ascii="Times New Roman" w:hAnsi="Times New Roman" w:eastAsia="宋体"/>
          <w:b/>
          <w:bCs/>
          <w:sz w:val="36"/>
          <w:szCs w:val="36"/>
          <w:highlight w:val="none"/>
        </w:rPr>
      </w:pPr>
      <w:r>
        <w:rPr>
          <w:rFonts w:hint="eastAsia" w:ascii="Times New Roman" w:hAnsi="Times New Roman" w:eastAsia="宋体"/>
          <w:b/>
          <w:bCs/>
          <w:sz w:val="36"/>
          <w:szCs w:val="36"/>
          <w:highlight w:val="none"/>
        </w:rPr>
        <w:t xml:space="preserve">目 </w:t>
      </w:r>
      <w:r>
        <w:rPr>
          <w:rFonts w:ascii="Times New Roman" w:hAnsi="Times New Roman" w:eastAsia="宋体"/>
          <w:b/>
          <w:bCs/>
          <w:sz w:val="36"/>
          <w:szCs w:val="36"/>
          <w:highlight w:val="none"/>
        </w:rPr>
        <w:t xml:space="preserve">   </w:t>
      </w:r>
      <w:r>
        <w:rPr>
          <w:rFonts w:hint="eastAsia" w:ascii="Times New Roman" w:hAnsi="Times New Roman" w:eastAsia="宋体"/>
          <w:b/>
          <w:bCs/>
          <w:sz w:val="36"/>
          <w:szCs w:val="36"/>
          <w:highlight w:val="none"/>
        </w:rPr>
        <w:t>录</w:t>
      </w:r>
    </w:p>
    <w:p w14:paraId="571D34B1">
      <w:pPr>
        <w:pStyle w:val="16"/>
        <w:tabs>
          <w:tab w:val="right" w:leader="dot" w:pos="9072"/>
        </w:tabs>
        <w:ind w:firstLine="552" w:firstLineChars="200"/>
        <w:rPr>
          <w:sz w:val="28"/>
          <w:szCs w:val="28"/>
          <w:highlight w:val="none"/>
        </w:rPr>
      </w:pPr>
      <w:r>
        <w:rPr>
          <w:rFonts w:hint="eastAsia"/>
          <w:sz w:val="28"/>
          <w:szCs w:val="28"/>
          <w:highlight w:val="none"/>
        </w:rPr>
        <w:fldChar w:fldCharType="begin"/>
      </w:r>
      <w:r>
        <w:rPr>
          <w:rFonts w:hint="eastAsia"/>
          <w:sz w:val="28"/>
          <w:szCs w:val="28"/>
          <w:highlight w:val="none"/>
        </w:rPr>
        <w:instrText xml:space="preserve">TOC \o "1-3" \h \u </w:instrText>
      </w:r>
      <w:r>
        <w:rPr>
          <w:rFonts w:hint="eastAsia"/>
          <w:sz w:val="28"/>
          <w:szCs w:val="28"/>
          <w:highlight w:val="none"/>
        </w:rPr>
        <w:fldChar w:fldCharType="separate"/>
      </w:r>
      <w:r>
        <w:rPr>
          <w:sz w:val="28"/>
          <w:szCs w:val="28"/>
          <w:highlight w:val="none"/>
        </w:rPr>
        <w:fldChar w:fldCharType="begin"/>
      </w:r>
      <w:r>
        <w:rPr>
          <w:sz w:val="28"/>
          <w:szCs w:val="28"/>
          <w:highlight w:val="none"/>
        </w:rPr>
        <w:instrText xml:space="preserve"> HYPERLINK \l "_Toc11765" </w:instrText>
      </w:r>
      <w:r>
        <w:rPr>
          <w:sz w:val="28"/>
          <w:szCs w:val="28"/>
          <w:highlight w:val="none"/>
        </w:rPr>
        <w:fldChar w:fldCharType="separate"/>
      </w:r>
      <w:r>
        <w:rPr>
          <w:rFonts w:hint="eastAsia"/>
          <w:sz w:val="28"/>
          <w:szCs w:val="28"/>
          <w:highlight w:val="none"/>
        </w:rPr>
        <w:t>一、评价结论</w:t>
      </w:r>
      <w:r>
        <w:rPr>
          <w:sz w:val="28"/>
          <w:szCs w:val="28"/>
          <w:highlight w:val="none"/>
        </w:rPr>
        <w:tab/>
      </w:r>
      <w:r>
        <w:rPr>
          <w:sz w:val="28"/>
          <w:szCs w:val="28"/>
          <w:highlight w:val="none"/>
        </w:rPr>
        <w:fldChar w:fldCharType="begin"/>
      </w:r>
      <w:r>
        <w:rPr>
          <w:sz w:val="28"/>
          <w:szCs w:val="28"/>
          <w:highlight w:val="none"/>
        </w:rPr>
        <w:instrText xml:space="preserve"> PAGEREF _Toc11765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167B51C8">
      <w:pPr>
        <w:pStyle w:val="17"/>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"_Toc17088" </w:instrText>
      </w:r>
      <w:r>
        <w:rPr>
          <w:sz w:val="28"/>
          <w:szCs w:val="28"/>
          <w:highlight w:val="none"/>
        </w:rPr>
        <w:fldChar w:fldCharType="separate"/>
      </w:r>
      <w:r>
        <w:rPr>
          <w:rFonts w:hint="eastAsia"/>
          <w:sz w:val="28"/>
          <w:szCs w:val="28"/>
          <w:highlight w:val="none"/>
        </w:rPr>
        <w:t>（一）绩效评价分数和等级</w:t>
      </w:r>
      <w:r>
        <w:rPr>
          <w:sz w:val="28"/>
          <w:szCs w:val="28"/>
          <w:highlight w:val="none"/>
        </w:rPr>
        <w:tab/>
      </w:r>
      <w:r>
        <w:rPr>
          <w:sz w:val="28"/>
          <w:szCs w:val="28"/>
          <w:highlight w:val="none"/>
        </w:rPr>
        <w:fldChar w:fldCharType="begin"/>
      </w:r>
      <w:r>
        <w:rPr>
          <w:sz w:val="28"/>
          <w:szCs w:val="28"/>
          <w:highlight w:val="none"/>
        </w:rPr>
        <w:instrText xml:space="preserve"> PAGEREF _Toc17088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13FD1337">
      <w:pPr>
        <w:pStyle w:val="17"/>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"_Toc21407" </w:instrText>
      </w:r>
      <w:r>
        <w:rPr>
          <w:sz w:val="28"/>
          <w:szCs w:val="28"/>
          <w:highlight w:val="none"/>
        </w:rPr>
        <w:fldChar w:fldCharType="separate"/>
      </w:r>
      <w:r>
        <w:rPr>
          <w:rFonts w:hint="eastAsia"/>
          <w:sz w:val="28"/>
          <w:szCs w:val="28"/>
          <w:highlight w:val="none"/>
        </w:rPr>
        <w:t>（二）绩效评价指标情况</w:t>
      </w:r>
      <w:r>
        <w:rPr>
          <w:sz w:val="28"/>
          <w:szCs w:val="28"/>
          <w:highlight w:val="none"/>
        </w:rPr>
        <w:tab/>
      </w:r>
      <w:r>
        <w:rPr>
          <w:sz w:val="28"/>
          <w:szCs w:val="28"/>
          <w:highlight w:val="none"/>
        </w:rPr>
        <w:fldChar w:fldCharType="begin"/>
      </w:r>
      <w:r>
        <w:rPr>
          <w:sz w:val="28"/>
          <w:szCs w:val="28"/>
          <w:highlight w:val="none"/>
        </w:rPr>
        <w:instrText xml:space="preserve"> PAGEREF _Toc21407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6ED6E93D">
      <w:pPr>
        <w:pStyle w:val="17"/>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"_Toc21166" </w:instrText>
      </w:r>
      <w:r>
        <w:rPr>
          <w:sz w:val="28"/>
          <w:szCs w:val="28"/>
          <w:highlight w:val="none"/>
        </w:rPr>
        <w:fldChar w:fldCharType="separate"/>
      </w:r>
      <w:r>
        <w:rPr>
          <w:rFonts w:hint="eastAsia"/>
          <w:sz w:val="28"/>
          <w:szCs w:val="28"/>
          <w:highlight w:val="none"/>
        </w:rPr>
        <w:t>（三）主要成效、存在的突出问题和原因</w:t>
      </w:r>
      <w:r>
        <w:rPr>
          <w:sz w:val="28"/>
          <w:szCs w:val="28"/>
          <w:highlight w:val="none"/>
        </w:rPr>
        <w:tab/>
      </w:r>
      <w:r>
        <w:rPr>
          <w:sz w:val="28"/>
          <w:szCs w:val="28"/>
          <w:highlight w:val="none"/>
        </w:rPr>
        <w:fldChar w:fldCharType="begin"/>
      </w:r>
      <w:r>
        <w:rPr>
          <w:sz w:val="28"/>
          <w:szCs w:val="28"/>
          <w:highlight w:val="none"/>
        </w:rPr>
        <w:instrText xml:space="preserve"> PAGEREF _Toc21166 \h </w:instrText>
      </w:r>
      <w:r>
        <w:rPr>
          <w:sz w:val="28"/>
          <w:szCs w:val="28"/>
          <w:highlight w:val="none"/>
        </w:rPr>
        <w:fldChar w:fldCharType="separate"/>
      </w:r>
      <w:r>
        <w:rPr>
          <w:sz w:val="28"/>
          <w:szCs w:val="28"/>
          <w:highlight w:val="none"/>
        </w:rPr>
        <w:t>4</w:t>
      </w:r>
      <w:r>
        <w:rPr>
          <w:sz w:val="28"/>
          <w:szCs w:val="28"/>
          <w:highlight w:val="none"/>
        </w:rPr>
        <w:fldChar w:fldCharType="end"/>
      </w:r>
      <w:r>
        <w:rPr>
          <w:sz w:val="28"/>
          <w:szCs w:val="28"/>
          <w:highlight w:val="none"/>
        </w:rPr>
        <w:fldChar w:fldCharType="end"/>
      </w:r>
    </w:p>
    <w:p w14:paraId="45BEB535">
      <w:pPr>
        <w:pStyle w:val="17"/>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"_Toc8748" </w:instrText>
      </w:r>
      <w:r>
        <w:rPr>
          <w:sz w:val="28"/>
          <w:szCs w:val="28"/>
          <w:highlight w:val="none"/>
        </w:rPr>
        <w:fldChar w:fldCharType="separate"/>
      </w:r>
      <w:r>
        <w:rPr>
          <w:rFonts w:hint="eastAsia"/>
          <w:sz w:val="28"/>
          <w:szCs w:val="28"/>
          <w:highlight w:val="none"/>
        </w:rPr>
        <w:t>（四）下一步拟改进措施</w:t>
      </w:r>
      <w:r>
        <w:rPr>
          <w:sz w:val="28"/>
          <w:szCs w:val="28"/>
          <w:highlight w:val="none"/>
        </w:rPr>
        <w:tab/>
      </w:r>
      <w:r>
        <w:rPr>
          <w:sz w:val="28"/>
          <w:szCs w:val="28"/>
          <w:highlight w:val="none"/>
        </w:rPr>
        <w:fldChar w:fldCharType="begin"/>
      </w:r>
      <w:r>
        <w:rPr>
          <w:sz w:val="28"/>
          <w:szCs w:val="28"/>
          <w:highlight w:val="none"/>
        </w:rPr>
        <w:instrText xml:space="preserve"> PAGEREF _Toc8748 \h </w:instrText>
      </w:r>
      <w:r>
        <w:rPr>
          <w:sz w:val="28"/>
          <w:szCs w:val="28"/>
          <w:highlight w:val="none"/>
        </w:rPr>
        <w:fldChar w:fldCharType="separate"/>
      </w:r>
      <w:r>
        <w:rPr>
          <w:sz w:val="28"/>
          <w:szCs w:val="28"/>
          <w:highlight w:val="none"/>
        </w:rPr>
        <w:t>6</w:t>
      </w:r>
      <w:r>
        <w:rPr>
          <w:sz w:val="28"/>
          <w:szCs w:val="28"/>
          <w:highlight w:val="none"/>
        </w:rPr>
        <w:fldChar w:fldCharType="end"/>
      </w:r>
      <w:r>
        <w:rPr>
          <w:sz w:val="28"/>
          <w:szCs w:val="28"/>
          <w:highlight w:val="none"/>
        </w:rPr>
        <w:fldChar w:fldCharType="end"/>
      </w:r>
    </w:p>
    <w:p w14:paraId="403A8965">
      <w:pPr>
        <w:pStyle w:val="16"/>
        <w:tabs>
          <w:tab w:val="right" w:leader="dot" w:pos="9072"/>
        </w:tabs>
        <w:ind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"_Toc26789" </w:instrText>
      </w:r>
      <w:r>
        <w:rPr>
          <w:sz w:val="28"/>
          <w:szCs w:val="28"/>
          <w:highlight w:val="none"/>
        </w:rPr>
        <w:fldChar w:fldCharType="separate"/>
      </w:r>
      <w:r>
        <w:rPr>
          <w:rFonts w:hint="eastAsia"/>
          <w:sz w:val="28"/>
          <w:szCs w:val="28"/>
          <w:highlight w:val="none"/>
        </w:rPr>
        <w:t>二、佐证材料</w:t>
      </w:r>
      <w:r>
        <w:rPr>
          <w:sz w:val="28"/>
          <w:szCs w:val="28"/>
          <w:highlight w:val="none"/>
        </w:rPr>
        <w:tab/>
      </w:r>
      <w:r>
        <w:rPr>
          <w:sz w:val="28"/>
          <w:szCs w:val="28"/>
          <w:highlight w:val="none"/>
        </w:rPr>
        <w:fldChar w:fldCharType="begin"/>
      </w:r>
      <w:r>
        <w:rPr>
          <w:sz w:val="28"/>
          <w:szCs w:val="28"/>
          <w:highlight w:val="none"/>
        </w:rPr>
        <w:instrText xml:space="preserve"> PAGEREF _Toc26789 \h </w:instrText>
      </w:r>
      <w:r>
        <w:rPr>
          <w:sz w:val="28"/>
          <w:szCs w:val="28"/>
          <w:highlight w:val="none"/>
        </w:rPr>
        <w:fldChar w:fldCharType="separate"/>
      </w:r>
      <w:r>
        <w:rPr>
          <w:sz w:val="28"/>
          <w:szCs w:val="28"/>
          <w:highlight w:val="none"/>
        </w:rPr>
        <w:t>7</w:t>
      </w:r>
      <w:r>
        <w:rPr>
          <w:sz w:val="28"/>
          <w:szCs w:val="28"/>
          <w:highlight w:val="none"/>
        </w:rPr>
        <w:fldChar w:fldCharType="end"/>
      </w:r>
      <w:r>
        <w:rPr>
          <w:sz w:val="28"/>
          <w:szCs w:val="28"/>
          <w:highlight w:val="none"/>
        </w:rPr>
        <w:fldChar w:fldCharType="end"/>
      </w:r>
    </w:p>
    <w:p w14:paraId="20B5CB0C">
      <w:pPr>
        <w:pStyle w:val="17"/>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"_Toc26003" </w:instrText>
      </w:r>
      <w:r>
        <w:rPr>
          <w:sz w:val="28"/>
          <w:szCs w:val="28"/>
          <w:highlight w:val="none"/>
        </w:rPr>
        <w:fldChar w:fldCharType="separate"/>
      </w:r>
      <w:r>
        <w:rPr>
          <w:rFonts w:hint="eastAsia"/>
          <w:sz w:val="28"/>
          <w:szCs w:val="28"/>
          <w:highlight w:val="none"/>
        </w:rPr>
        <w:t>（一）基本情况</w:t>
      </w:r>
      <w:r>
        <w:rPr>
          <w:sz w:val="28"/>
          <w:szCs w:val="28"/>
          <w:highlight w:val="none"/>
        </w:rPr>
        <w:tab/>
      </w:r>
      <w:r>
        <w:rPr>
          <w:sz w:val="28"/>
          <w:szCs w:val="28"/>
          <w:highlight w:val="none"/>
        </w:rPr>
        <w:fldChar w:fldCharType="begin"/>
      </w:r>
      <w:r>
        <w:rPr>
          <w:sz w:val="28"/>
          <w:szCs w:val="28"/>
          <w:highlight w:val="none"/>
        </w:rPr>
        <w:instrText xml:space="preserve"> PAGEREF _Toc26003 \h </w:instrText>
      </w:r>
      <w:r>
        <w:rPr>
          <w:sz w:val="28"/>
          <w:szCs w:val="28"/>
          <w:highlight w:val="none"/>
        </w:rPr>
        <w:fldChar w:fldCharType="separate"/>
      </w:r>
      <w:r>
        <w:rPr>
          <w:sz w:val="28"/>
          <w:szCs w:val="28"/>
          <w:highlight w:val="none"/>
        </w:rPr>
        <w:t>7</w:t>
      </w:r>
      <w:r>
        <w:rPr>
          <w:sz w:val="28"/>
          <w:szCs w:val="28"/>
          <w:highlight w:val="none"/>
        </w:rPr>
        <w:fldChar w:fldCharType="end"/>
      </w:r>
      <w:r>
        <w:rPr>
          <w:sz w:val="28"/>
          <w:szCs w:val="28"/>
          <w:highlight w:val="none"/>
        </w:rPr>
        <w:fldChar w:fldCharType="end"/>
      </w:r>
    </w:p>
    <w:p w14:paraId="793B5FA7">
      <w:pPr>
        <w:pStyle w:val="17"/>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"_Toc28715" </w:instrText>
      </w:r>
      <w:r>
        <w:rPr>
          <w:sz w:val="28"/>
          <w:szCs w:val="28"/>
          <w:highlight w:val="none"/>
        </w:rPr>
        <w:fldChar w:fldCharType="separate"/>
      </w:r>
      <w:r>
        <w:rPr>
          <w:rFonts w:hint="eastAsia"/>
          <w:sz w:val="28"/>
          <w:szCs w:val="28"/>
          <w:highlight w:val="none"/>
        </w:rPr>
        <w:t>（二）绩效评价工作开展情况</w:t>
      </w:r>
      <w:r>
        <w:rPr>
          <w:sz w:val="28"/>
          <w:szCs w:val="28"/>
          <w:highlight w:val="none"/>
        </w:rPr>
        <w:tab/>
      </w:r>
      <w:r>
        <w:rPr>
          <w:sz w:val="28"/>
          <w:szCs w:val="28"/>
          <w:highlight w:val="none"/>
        </w:rPr>
        <w:fldChar w:fldCharType="begin"/>
      </w:r>
      <w:r>
        <w:rPr>
          <w:sz w:val="28"/>
          <w:szCs w:val="28"/>
          <w:highlight w:val="none"/>
        </w:rPr>
        <w:instrText xml:space="preserve"> PAGEREF _Toc28715 \h </w:instrText>
      </w:r>
      <w:r>
        <w:rPr>
          <w:sz w:val="28"/>
          <w:szCs w:val="28"/>
          <w:highlight w:val="none"/>
        </w:rPr>
        <w:fldChar w:fldCharType="separate"/>
      </w:r>
      <w:r>
        <w:rPr>
          <w:sz w:val="28"/>
          <w:szCs w:val="28"/>
          <w:highlight w:val="none"/>
        </w:rPr>
        <w:t>7</w:t>
      </w:r>
      <w:r>
        <w:rPr>
          <w:sz w:val="28"/>
          <w:szCs w:val="28"/>
          <w:highlight w:val="none"/>
        </w:rPr>
        <w:fldChar w:fldCharType="end"/>
      </w:r>
      <w:r>
        <w:rPr>
          <w:sz w:val="28"/>
          <w:szCs w:val="28"/>
          <w:highlight w:val="none"/>
        </w:rPr>
        <w:fldChar w:fldCharType="end"/>
      </w:r>
    </w:p>
    <w:p w14:paraId="75D170C4">
      <w:pPr>
        <w:pStyle w:val="17"/>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"_Toc13548" </w:instrText>
      </w:r>
      <w:r>
        <w:rPr>
          <w:sz w:val="28"/>
          <w:szCs w:val="28"/>
          <w:highlight w:val="none"/>
        </w:rPr>
        <w:fldChar w:fldCharType="separate"/>
      </w:r>
      <w:r>
        <w:rPr>
          <w:rFonts w:hint="eastAsia"/>
          <w:sz w:val="28"/>
          <w:szCs w:val="28"/>
          <w:highlight w:val="none"/>
        </w:rPr>
        <w:t>（三）绩效评价指标完成情况分析</w:t>
      </w:r>
      <w:r>
        <w:rPr>
          <w:sz w:val="28"/>
          <w:szCs w:val="28"/>
          <w:highlight w:val="none"/>
        </w:rPr>
        <w:tab/>
      </w:r>
      <w:r>
        <w:rPr>
          <w:sz w:val="28"/>
          <w:szCs w:val="28"/>
          <w:highlight w:val="none"/>
        </w:rPr>
        <w:fldChar w:fldCharType="begin"/>
      </w:r>
      <w:r>
        <w:rPr>
          <w:sz w:val="28"/>
          <w:szCs w:val="28"/>
          <w:highlight w:val="none"/>
        </w:rPr>
        <w:instrText xml:space="preserve"> PAGEREF _Toc13548 \h </w:instrText>
      </w:r>
      <w:r>
        <w:rPr>
          <w:sz w:val="28"/>
          <w:szCs w:val="28"/>
          <w:highlight w:val="none"/>
        </w:rPr>
        <w:fldChar w:fldCharType="separate"/>
      </w:r>
      <w:r>
        <w:rPr>
          <w:sz w:val="28"/>
          <w:szCs w:val="28"/>
          <w:highlight w:val="none"/>
        </w:rPr>
        <w:t>12</w:t>
      </w:r>
      <w:r>
        <w:rPr>
          <w:sz w:val="28"/>
          <w:szCs w:val="28"/>
          <w:highlight w:val="none"/>
        </w:rPr>
        <w:fldChar w:fldCharType="end"/>
      </w:r>
      <w:r>
        <w:rPr>
          <w:sz w:val="28"/>
          <w:szCs w:val="28"/>
          <w:highlight w:val="none"/>
        </w:rPr>
        <w:fldChar w:fldCharType="end"/>
      </w:r>
    </w:p>
    <w:p w14:paraId="7EE00D01">
      <w:pPr>
        <w:pStyle w:val="17"/>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"_Toc16125" </w:instrText>
      </w:r>
      <w:r>
        <w:rPr>
          <w:sz w:val="28"/>
          <w:szCs w:val="28"/>
          <w:highlight w:val="none"/>
        </w:rPr>
        <w:fldChar w:fldCharType="separate"/>
      </w:r>
      <w:r>
        <w:rPr>
          <w:rFonts w:hint="eastAsia"/>
          <w:sz w:val="28"/>
          <w:szCs w:val="28"/>
          <w:highlight w:val="none"/>
        </w:rPr>
        <w:t>（四）存在的其他问题和原因</w:t>
      </w:r>
      <w:r>
        <w:rPr>
          <w:sz w:val="28"/>
          <w:szCs w:val="28"/>
          <w:highlight w:val="none"/>
        </w:rPr>
        <w:tab/>
      </w:r>
      <w:r>
        <w:rPr>
          <w:sz w:val="28"/>
          <w:szCs w:val="28"/>
          <w:highlight w:val="none"/>
        </w:rPr>
        <w:fldChar w:fldCharType="begin"/>
      </w:r>
      <w:r>
        <w:rPr>
          <w:sz w:val="28"/>
          <w:szCs w:val="28"/>
          <w:highlight w:val="none"/>
        </w:rPr>
        <w:instrText xml:space="preserve"> PAGEREF _Toc16125 \h </w:instrText>
      </w:r>
      <w:r>
        <w:rPr>
          <w:sz w:val="28"/>
          <w:szCs w:val="28"/>
          <w:highlight w:val="none"/>
        </w:rPr>
        <w:fldChar w:fldCharType="separate"/>
      </w:r>
      <w:r>
        <w:rPr>
          <w:sz w:val="28"/>
          <w:szCs w:val="28"/>
          <w:highlight w:val="none"/>
        </w:rPr>
        <w:t>28</w:t>
      </w:r>
      <w:r>
        <w:rPr>
          <w:sz w:val="28"/>
          <w:szCs w:val="28"/>
          <w:highlight w:val="none"/>
        </w:rPr>
        <w:fldChar w:fldCharType="end"/>
      </w:r>
      <w:r>
        <w:rPr>
          <w:sz w:val="28"/>
          <w:szCs w:val="28"/>
          <w:highlight w:val="none"/>
        </w:rPr>
        <w:fldChar w:fldCharType="end"/>
      </w:r>
    </w:p>
    <w:p w14:paraId="745FDEAA">
      <w:pPr>
        <w:pStyle w:val="17"/>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"_Toc17913" </w:instrText>
      </w:r>
      <w:r>
        <w:rPr>
          <w:sz w:val="28"/>
          <w:szCs w:val="28"/>
          <w:highlight w:val="none"/>
        </w:rPr>
        <w:fldChar w:fldCharType="separate"/>
      </w:r>
      <w:r>
        <w:rPr>
          <w:rFonts w:hint="eastAsia"/>
          <w:sz w:val="28"/>
          <w:szCs w:val="28"/>
          <w:highlight w:val="none"/>
        </w:rPr>
        <w:t>（五）其他佐证材料</w:t>
      </w:r>
      <w:r>
        <w:rPr>
          <w:sz w:val="28"/>
          <w:szCs w:val="28"/>
          <w:highlight w:val="none"/>
        </w:rPr>
        <w:tab/>
      </w:r>
      <w:r>
        <w:rPr>
          <w:sz w:val="28"/>
          <w:szCs w:val="28"/>
          <w:highlight w:val="none"/>
        </w:rPr>
        <w:fldChar w:fldCharType="begin"/>
      </w:r>
      <w:r>
        <w:rPr>
          <w:sz w:val="28"/>
          <w:szCs w:val="28"/>
          <w:highlight w:val="none"/>
        </w:rPr>
        <w:instrText xml:space="preserve"> PAGEREF _Toc17913 \h </w:instrText>
      </w:r>
      <w:r>
        <w:rPr>
          <w:sz w:val="28"/>
          <w:szCs w:val="28"/>
          <w:highlight w:val="none"/>
        </w:rPr>
        <w:fldChar w:fldCharType="separate"/>
      </w:r>
      <w:r>
        <w:rPr>
          <w:sz w:val="28"/>
          <w:szCs w:val="28"/>
          <w:highlight w:val="none"/>
        </w:rPr>
        <w:t>30</w:t>
      </w:r>
      <w:r>
        <w:rPr>
          <w:sz w:val="28"/>
          <w:szCs w:val="28"/>
          <w:highlight w:val="none"/>
        </w:rPr>
        <w:fldChar w:fldCharType="end"/>
      </w:r>
      <w:r>
        <w:rPr>
          <w:sz w:val="28"/>
          <w:szCs w:val="28"/>
          <w:highlight w:val="none"/>
        </w:rPr>
        <w:fldChar w:fldCharType="end"/>
      </w:r>
    </w:p>
    <w:p w14:paraId="1CEE10FA">
      <w:pPr>
        <w:pStyle w:val="16"/>
        <w:tabs>
          <w:tab w:val="right" w:leader="dot" w:pos="9072"/>
        </w:tabs>
        <w:ind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"_Toc30441" </w:instrText>
      </w:r>
      <w:r>
        <w:rPr>
          <w:sz w:val="28"/>
          <w:szCs w:val="28"/>
          <w:highlight w:val="none"/>
        </w:rPr>
        <w:fldChar w:fldCharType="separate"/>
      </w:r>
      <w:r>
        <w:rPr>
          <w:rFonts w:hint="eastAsia"/>
          <w:sz w:val="28"/>
          <w:szCs w:val="28"/>
          <w:highlight w:val="none"/>
        </w:rPr>
        <w:t>附件</w:t>
      </w:r>
      <w:r>
        <w:rPr>
          <w:sz w:val="28"/>
          <w:szCs w:val="28"/>
          <w:highlight w:val="none"/>
        </w:rPr>
        <w:tab/>
      </w:r>
      <w:r>
        <w:rPr>
          <w:sz w:val="28"/>
          <w:szCs w:val="28"/>
          <w:highlight w:val="none"/>
        </w:rPr>
        <w:fldChar w:fldCharType="begin"/>
      </w:r>
      <w:r>
        <w:rPr>
          <w:sz w:val="28"/>
          <w:szCs w:val="28"/>
          <w:highlight w:val="none"/>
        </w:rPr>
        <w:instrText xml:space="preserve"> PAGEREF _Toc30441 \h </w:instrText>
      </w:r>
      <w:r>
        <w:rPr>
          <w:sz w:val="28"/>
          <w:szCs w:val="28"/>
          <w:highlight w:val="none"/>
        </w:rPr>
        <w:fldChar w:fldCharType="separate"/>
      </w:r>
      <w:r>
        <w:rPr>
          <w:sz w:val="28"/>
          <w:szCs w:val="28"/>
          <w:highlight w:val="none"/>
        </w:rPr>
        <w:t>31</w:t>
      </w:r>
      <w:r>
        <w:rPr>
          <w:sz w:val="28"/>
          <w:szCs w:val="28"/>
          <w:highlight w:val="none"/>
        </w:rPr>
        <w:fldChar w:fldCharType="end"/>
      </w:r>
      <w:r>
        <w:rPr>
          <w:sz w:val="28"/>
          <w:szCs w:val="28"/>
          <w:highlight w:val="none"/>
        </w:rPr>
        <w:fldChar w:fldCharType="end"/>
      </w:r>
    </w:p>
    <w:p w14:paraId="740E0BFA">
      <w:pPr>
        <w:rPr>
          <w:rFonts w:hint="eastAsia"/>
          <w:highlight w:val="none"/>
        </w:rPr>
      </w:pPr>
      <w:r>
        <w:rPr>
          <w:rFonts w:hint="eastAsia"/>
          <w:sz w:val="28"/>
          <w:szCs w:val="28"/>
          <w:highlight w:val="none"/>
        </w:rPr>
        <w:fldChar w:fldCharType="end"/>
      </w:r>
    </w:p>
    <w:p w14:paraId="59EE68C2">
      <w:pPr>
        <w:rPr>
          <w:rFonts w:hint="eastAsia"/>
          <w:highlight w:val="none"/>
        </w:rPr>
      </w:pPr>
    </w:p>
    <w:p w14:paraId="2A35CCE5">
      <w:pPr>
        <w:rPr>
          <w:rFonts w:hint="eastAsia"/>
          <w:highlight w:val="none"/>
        </w:rPr>
        <w:sectPr>
          <w:headerReference r:id="rId5" w:type="default"/>
          <w:footerReference r:id="rId6" w:type="default"/>
          <w:pgSz w:w="11906" w:h="16838"/>
          <w:pgMar w:top="1417" w:right="1247" w:bottom="1417" w:left="1587" w:header="1134" w:footer="1134" w:gutter="0"/>
          <w:pgNumType w:fmt="decimal" w:start="1"/>
          <w:cols w:space="0" w:num="1"/>
          <w:docGrid w:type="linesAndChars" w:linePitch="580" w:charSpace="-1024"/>
        </w:sectPr>
      </w:pPr>
    </w:p>
    <w:p w14:paraId="48C01A79">
      <w:pPr>
        <w:overflowPunct w:val="0"/>
        <w:autoSpaceDE w:val="0"/>
        <w:autoSpaceDN w:val="0"/>
        <w:spacing w:line="560" w:lineRule="exact"/>
        <w:jc w:val="center"/>
        <w:rPr>
          <w:rFonts w:hint="eastAsia" w:ascii="Times New Roman" w:hAnsi="Times New Roman" w:eastAsia="方正小标宋_GBK" w:cs="方正小标宋_GBK"/>
          <w:color w:val="000000"/>
          <w:kern w:val="0"/>
          <w:sz w:val="36"/>
          <w:szCs w:val="36"/>
          <w:highlight w:val="none"/>
          <w:lang w:val="en-US" w:eastAsia="zh-CN"/>
        </w:rPr>
      </w:pPr>
      <w:r>
        <w:rPr>
          <w:rFonts w:hint="eastAsia" w:ascii="Times New Roman" w:hAnsi="Times New Roman" w:eastAsia="方正小标宋_GBK" w:cs="方正小标宋_GBK"/>
          <w:color w:val="000000"/>
          <w:kern w:val="0"/>
          <w:sz w:val="36"/>
          <w:szCs w:val="36"/>
          <w:highlight w:val="none"/>
        </w:rPr>
        <w:t>2024年黄石市下陆区</w:t>
      </w:r>
      <w:r>
        <w:rPr>
          <w:rFonts w:hint="eastAsia" w:ascii="Times New Roman" w:hAnsi="Times New Roman" w:eastAsia="方正小标宋_GBK" w:cs="方正小标宋_GBK"/>
          <w:color w:val="000000"/>
          <w:kern w:val="0"/>
          <w:sz w:val="36"/>
          <w:szCs w:val="36"/>
          <w:highlight w:val="none"/>
          <w:lang w:eastAsia="zh-CN"/>
        </w:rPr>
        <w:t>卫生健康局</w:t>
      </w:r>
      <w:r>
        <w:rPr>
          <w:rFonts w:hint="eastAsia" w:ascii="Times New Roman" w:hAnsi="Times New Roman" w:eastAsia="方正小标宋_GBK" w:cs="方正小标宋_GBK"/>
          <w:color w:val="000000"/>
          <w:kern w:val="0"/>
          <w:sz w:val="36"/>
          <w:szCs w:val="36"/>
          <w:highlight w:val="none"/>
        </w:rPr>
        <w:t>部门整体</w:t>
      </w:r>
      <w:r>
        <w:rPr>
          <w:rFonts w:hint="eastAsia" w:ascii="Times New Roman" w:hAnsi="Times New Roman" w:eastAsia="方正小标宋_GBK" w:cs="方正小标宋_GBK"/>
          <w:color w:val="000000"/>
          <w:kern w:val="0"/>
          <w:sz w:val="36"/>
          <w:szCs w:val="36"/>
          <w:highlight w:val="none"/>
          <w:lang w:val="en-US" w:eastAsia="zh-CN"/>
        </w:rPr>
        <w:t>支出</w:t>
      </w:r>
    </w:p>
    <w:p w14:paraId="07C5999D">
      <w:pPr>
        <w:overflowPunct w:val="0"/>
        <w:autoSpaceDE w:val="0"/>
        <w:autoSpaceDN w:val="0"/>
        <w:spacing w:line="560" w:lineRule="exact"/>
        <w:jc w:val="center"/>
        <w:rPr>
          <w:rFonts w:hint="eastAsia" w:ascii="Times New Roman" w:hAnsi="Times New Roman" w:eastAsia="方正小标宋_GBK" w:cs="方正小标宋_GBK"/>
          <w:color w:val="000000"/>
          <w:kern w:val="0"/>
          <w:sz w:val="36"/>
          <w:szCs w:val="36"/>
          <w:highlight w:val="none"/>
          <w:lang w:val="en-US" w:eastAsia="zh-CN"/>
        </w:rPr>
      </w:pPr>
      <w:r>
        <w:rPr>
          <w:rFonts w:hint="eastAsia" w:ascii="Times New Roman" w:hAnsi="Times New Roman" w:eastAsia="方正小标宋_GBK" w:cs="方正小标宋_GBK"/>
          <w:color w:val="000000"/>
          <w:kern w:val="0"/>
          <w:sz w:val="36"/>
          <w:szCs w:val="36"/>
          <w:highlight w:val="none"/>
        </w:rPr>
        <w:t>绩效评价</w:t>
      </w:r>
      <w:r>
        <w:rPr>
          <w:rFonts w:hint="eastAsia" w:ascii="Times New Roman" w:hAnsi="Times New Roman" w:eastAsia="方正小标宋_GBK" w:cs="方正小标宋_GBK"/>
          <w:color w:val="000000"/>
          <w:kern w:val="0"/>
          <w:sz w:val="36"/>
          <w:szCs w:val="36"/>
          <w:highlight w:val="none"/>
          <w:lang w:val="en-US" w:eastAsia="zh-CN"/>
        </w:rPr>
        <w:t>报告</w:t>
      </w:r>
    </w:p>
    <w:p w14:paraId="2CAA4A2B">
      <w:pPr>
        <w:overflowPunct w:val="0"/>
        <w:autoSpaceDE w:val="0"/>
        <w:autoSpaceDN w:val="0"/>
        <w:spacing w:line="560" w:lineRule="exact"/>
        <w:jc w:val="center"/>
        <w:rPr>
          <w:rFonts w:hint="eastAsia" w:ascii="Times New Roman" w:hAnsi="Times New Roman" w:eastAsia="方正小标宋_GBK" w:cs="方正小标宋_GBK"/>
          <w:color w:val="000000"/>
          <w:kern w:val="0"/>
          <w:sz w:val="36"/>
          <w:szCs w:val="36"/>
          <w:highlight w:val="none"/>
          <w:lang w:val="en-US" w:eastAsia="zh-CN"/>
        </w:rPr>
      </w:pPr>
    </w:p>
    <w:p w14:paraId="37363D12">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eastAsia="zh-CN"/>
        </w:rPr>
      </w:pPr>
      <w:r>
        <w:rPr>
          <w:rFonts w:hint="eastAsia" w:ascii="仿宋" w:hAnsi="仿宋" w:cs="Times New Roman"/>
          <w:bCs/>
          <w:kern w:val="0"/>
          <w:szCs w:val="32"/>
          <w:highlight w:val="none"/>
          <w:lang w:eastAsia="zh-CN"/>
        </w:rPr>
        <w:t>湖北永九星房地产资产评估有限公司接受黄石市下陆区财政局（</w:t>
      </w:r>
      <w:r>
        <w:rPr>
          <w:rFonts w:hint="eastAsia" w:ascii="仿宋" w:hAnsi="仿宋" w:cs="Times New Roman"/>
          <w:bCs/>
          <w:kern w:val="0"/>
          <w:szCs w:val="32"/>
          <w:highlight w:val="none"/>
          <w:lang w:val="en-US" w:eastAsia="zh-CN"/>
        </w:rPr>
        <w:t>以下简称“区财政局”</w:t>
      </w:r>
      <w:r>
        <w:rPr>
          <w:rFonts w:hint="eastAsia" w:ascii="仿宋" w:hAnsi="仿宋" w:cs="Times New Roman"/>
          <w:bCs/>
          <w:kern w:val="0"/>
          <w:szCs w:val="32"/>
          <w:highlight w:val="none"/>
          <w:lang w:eastAsia="zh-CN"/>
        </w:rPr>
        <w:t>）的委托，根据国家有关法律、法规和部门规章，运用科学、合理的绩效评价方法，对“2024年黄石市下陆区卫生健康局（</w:t>
      </w:r>
      <w:r>
        <w:rPr>
          <w:rFonts w:hint="eastAsia" w:ascii="仿宋" w:hAnsi="仿宋" w:cs="Times New Roman"/>
          <w:bCs/>
          <w:kern w:val="0"/>
          <w:szCs w:val="32"/>
          <w:highlight w:val="none"/>
          <w:lang w:val="en-US" w:eastAsia="zh-CN"/>
        </w:rPr>
        <w:t>以下简称“区卫健局”</w:t>
      </w:r>
      <w:r>
        <w:rPr>
          <w:rFonts w:hint="eastAsia" w:ascii="仿宋" w:hAnsi="仿宋" w:cs="Times New Roman"/>
          <w:bCs/>
          <w:kern w:val="0"/>
          <w:szCs w:val="32"/>
          <w:highlight w:val="none"/>
          <w:lang w:eastAsia="zh-CN"/>
        </w:rPr>
        <w:t>）</w:t>
      </w:r>
      <w:r>
        <w:rPr>
          <w:rFonts w:hint="eastAsia" w:ascii="仿宋" w:hAnsi="仿宋" w:cs="Times New Roman"/>
          <w:bCs/>
          <w:kern w:val="0"/>
          <w:szCs w:val="32"/>
          <w:highlight w:val="none"/>
          <w:lang w:val="en-US" w:eastAsia="zh-CN"/>
        </w:rPr>
        <w:t>部门</w:t>
      </w:r>
      <w:r>
        <w:rPr>
          <w:rFonts w:hint="eastAsia" w:ascii="仿宋" w:hAnsi="仿宋" w:cs="Times New Roman"/>
          <w:bCs/>
          <w:kern w:val="0"/>
          <w:szCs w:val="32"/>
          <w:highlight w:val="none"/>
          <w:lang w:eastAsia="zh-CN"/>
        </w:rPr>
        <w:t>整体支出”的绩效进行了客观、公正的评价。现将评价情况报告如下：</w:t>
      </w:r>
    </w:p>
    <w:p w14:paraId="36D19DDA">
      <w:pPr>
        <w:pStyle w:val="2"/>
        <w:keepNext/>
        <w:keepLines/>
        <w:pageBreakBefore w:val="0"/>
        <w:widowControl w:val="0"/>
        <w:tabs>
          <w:tab w:val="center" w:pos="4780"/>
        </w:tabs>
        <w:kinsoku/>
        <w:wordWrap/>
        <w:overflowPunct/>
        <w:topLinePunct w:val="0"/>
        <w:autoSpaceDE/>
        <w:autoSpaceDN/>
        <w:bidi w:val="0"/>
        <w:adjustRightInd/>
        <w:snapToGrid/>
        <w:spacing w:before="0" w:after="0" w:line="560" w:lineRule="exact"/>
        <w:ind w:firstLine="632" w:firstLineChars="200"/>
        <w:textAlignment w:val="auto"/>
        <w:outlineLvl w:val="0"/>
        <w:rPr>
          <w:rFonts w:hint="eastAsia" w:ascii="黑体" w:hAnsi="黑体" w:eastAsia="黑体" w:cs="Times New Roman"/>
          <w:b w:val="0"/>
          <w:bCs w:val="0"/>
          <w:kern w:val="0"/>
          <w:sz w:val="32"/>
          <w:szCs w:val="32"/>
          <w:highlight w:val="none"/>
        </w:rPr>
      </w:pPr>
      <w:bookmarkStart w:id="0" w:name="_Toc11765"/>
      <w:r>
        <w:rPr>
          <w:rFonts w:hint="eastAsia" w:ascii="黑体" w:hAnsi="黑体" w:eastAsia="黑体" w:cs="Times New Roman"/>
          <w:b w:val="0"/>
          <w:bCs w:val="0"/>
          <w:kern w:val="0"/>
          <w:sz w:val="32"/>
          <w:szCs w:val="32"/>
          <w:highlight w:val="none"/>
        </w:rPr>
        <w:t>一、评价结论</w:t>
      </w:r>
      <w:bookmarkEnd w:id="0"/>
    </w:p>
    <w:p w14:paraId="22A18485">
      <w:pPr>
        <w:pStyle w:val="3"/>
        <w:keepNext w:val="0"/>
        <w:keepLines w:val="0"/>
        <w:overflowPunct w:val="0"/>
        <w:autoSpaceDE w:val="0"/>
        <w:autoSpaceDN w:val="0"/>
        <w:ind w:firstLine="473"/>
        <w:outlineLvl w:val="1"/>
        <w:rPr>
          <w:rFonts w:ascii="Times New Roman" w:hAnsi="Times New Roman"/>
          <w:highlight w:val="none"/>
        </w:rPr>
      </w:pPr>
      <w:bookmarkStart w:id="1" w:name="_Toc17088"/>
      <w:r>
        <w:rPr>
          <w:rFonts w:hint="eastAsia" w:ascii="Times New Roman" w:hAnsi="Times New Roman"/>
          <w:highlight w:val="none"/>
        </w:rPr>
        <w:t>（一）绩效评价分数和等级</w:t>
      </w:r>
      <w:bookmarkEnd w:id="1"/>
    </w:p>
    <w:p w14:paraId="2965B15E">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eastAsia="zh-CN"/>
        </w:rPr>
      </w:pPr>
      <w:r>
        <w:rPr>
          <w:rFonts w:hint="eastAsia" w:ascii="仿宋" w:hAnsi="仿宋" w:cs="Times New Roman"/>
          <w:bCs/>
          <w:kern w:val="0"/>
          <w:szCs w:val="32"/>
          <w:highlight w:val="none"/>
          <w:lang w:eastAsia="zh-CN"/>
        </w:rPr>
        <w:t>评价机构按照评价前制定的绩效评价指标及评分标准，从运行成本、管理效率、履职效能、社会效益、可持续发展能力和服务对象满意度等维度进行了绩效评价，综合评价结果为</w:t>
      </w:r>
      <w:r>
        <w:rPr>
          <w:rFonts w:hint="eastAsia" w:ascii="仿宋" w:hAnsi="仿宋" w:cs="Times New Roman"/>
          <w:bCs/>
          <w:kern w:val="0"/>
          <w:szCs w:val="32"/>
          <w:highlight w:val="none"/>
          <w:lang w:val="en-US" w:eastAsia="zh-CN"/>
        </w:rPr>
        <w:t>86.59</w:t>
      </w:r>
      <w:r>
        <w:rPr>
          <w:rFonts w:hint="eastAsia" w:ascii="仿宋" w:hAnsi="仿宋" w:cs="Times New Roman"/>
          <w:bCs/>
          <w:kern w:val="0"/>
          <w:szCs w:val="32"/>
          <w:highlight w:val="none"/>
          <w:lang w:eastAsia="zh-CN"/>
        </w:rPr>
        <w:t>分，评价结果级别为</w:t>
      </w:r>
      <w:r>
        <w:rPr>
          <w:rFonts w:hint="eastAsia" w:ascii="仿宋" w:hAnsi="仿宋" w:cs="Times New Roman"/>
          <w:bCs/>
          <w:kern w:val="0"/>
          <w:szCs w:val="32"/>
          <w:highlight w:val="none"/>
          <w:lang w:val="en-US" w:eastAsia="zh-CN"/>
        </w:rPr>
        <w:t>良（80（含）-90分），评分详情见下表</w:t>
      </w:r>
      <w:r>
        <w:rPr>
          <w:rFonts w:hint="eastAsia" w:ascii="仿宋" w:hAnsi="仿宋" w:cs="Times New Roman"/>
          <w:bCs/>
          <w:kern w:val="0"/>
          <w:szCs w:val="32"/>
          <w:highlight w:val="none"/>
          <w:lang w:eastAsia="zh-CN"/>
        </w:rPr>
        <w:t>：</w:t>
      </w:r>
    </w:p>
    <w:tbl>
      <w:tblPr>
        <w:tblStyle w:val="21"/>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410"/>
        <w:gridCol w:w="1571"/>
        <w:gridCol w:w="1569"/>
        <w:gridCol w:w="1676"/>
        <w:gridCol w:w="1831"/>
      </w:tblGrid>
      <w:tr w14:paraId="44BED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3D522ED4">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bidi="ar"/>
              </w:rPr>
              <w:t>评价指标</w:t>
            </w:r>
          </w:p>
        </w:tc>
        <w:tc>
          <w:tcPr>
            <w:tcW w:w="867" w:type="pct"/>
            <w:shd w:val="clear" w:color="auto" w:fill="auto"/>
            <w:vAlign w:val="center"/>
          </w:tcPr>
          <w:p w14:paraId="14DB4007">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bidi="ar"/>
              </w:rPr>
              <w:t>权重</w:t>
            </w:r>
          </w:p>
        </w:tc>
        <w:tc>
          <w:tcPr>
            <w:tcW w:w="866" w:type="pct"/>
            <w:shd w:val="clear" w:color="auto" w:fill="auto"/>
            <w:vAlign w:val="center"/>
          </w:tcPr>
          <w:p w14:paraId="3A340B2F">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bidi="ar"/>
              </w:rPr>
              <w:t>扣分</w:t>
            </w:r>
          </w:p>
        </w:tc>
        <w:tc>
          <w:tcPr>
            <w:tcW w:w="925" w:type="pct"/>
            <w:shd w:val="clear" w:color="auto" w:fill="auto"/>
            <w:vAlign w:val="center"/>
          </w:tcPr>
          <w:p w14:paraId="799DDE37">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bidi="ar"/>
              </w:rPr>
              <w:t>评价得分</w:t>
            </w:r>
          </w:p>
        </w:tc>
        <w:tc>
          <w:tcPr>
            <w:tcW w:w="1010" w:type="pct"/>
            <w:shd w:val="clear" w:color="auto" w:fill="auto"/>
            <w:vAlign w:val="center"/>
          </w:tcPr>
          <w:p w14:paraId="3862E382">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bidi="ar"/>
              </w:rPr>
              <w:t>评价结果级别</w:t>
            </w:r>
          </w:p>
        </w:tc>
      </w:tr>
      <w:tr w14:paraId="6F93D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678D6F80">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运行成本</w:t>
            </w:r>
          </w:p>
        </w:tc>
        <w:tc>
          <w:tcPr>
            <w:tcW w:w="1571" w:type="dxa"/>
            <w:shd w:val="clear" w:color="auto" w:fill="auto"/>
            <w:vAlign w:val="center"/>
          </w:tcPr>
          <w:p w14:paraId="37FB6A7A">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8</w:t>
            </w:r>
          </w:p>
        </w:tc>
        <w:tc>
          <w:tcPr>
            <w:tcW w:w="1569" w:type="dxa"/>
            <w:shd w:val="clear" w:color="auto" w:fill="auto"/>
            <w:vAlign w:val="center"/>
          </w:tcPr>
          <w:p w14:paraId="43309027">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3.43</w:t>
            </w:r>
          </w:p>
        </w:tc>
        <w:tc>
          <w:tcPr>
            <w:tcW w:w="1676" w:type="dxa"/>
            <w:shd w:val="clear" w:color="auto" w:fill="auto"/>
            <w:vAlign w:val="center"/>
          </w:tcPr>
          <w:p w14:paraId="39170D19">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4.57</w:t>
            </w:r>
          </w:p>
        </w:tc>
        <w:tc>
          <w:tcPr>
            <w:tcW w:w="1010" w:type="pct"/>
            <w:vMerge w:val="restart"/>
            <w:shd w:val="clear" w:color="auto" w:fill="auto"/>
            <w:vAlign w:val="center"/>
          </w:tcPr>
          <w:p w14:paraId="445E4542">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lang w:val="en-US" w:eastAsia="zh-CN"/>
              </w:rPr>
            </w:pPr>
            <w:r>
              <w:rPr>
                <w:rFonts w:hint="eastAsia" w:ascii="楷体" w:hAnsi="楷体" w:eastAsia="楷体" w:cs="楷体"/>
                <w:b/>
                <w:bCs/>
                <w:color w:val="000000"/>
                <w:kern w:val="0"/>
                <w:sz w:val="24"/>
                <w:szCs w:val="24"/>
                <w:highlight w:val="none"/>
                <w:lang w:val="en-US" w:eastAsia="zh-CN"/>
              </w:rPr>
              <w:t>良</w:t>
            </w:r>
          </w:p>
        </w:tc>
      </w:tr>
      <w:tr w14:paraId="459B91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14F633A7">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管理效率</w:t>
            </w:r>
          </w:p>
        </w:tc>
        <w:tc>
          <w:tcPr>
            <w:tcW w:w="1571" w:type="dxa"/>
            <w:shd w:val="clear" w:color="auto" w:fill="auto"/>
            <w:vAlign w:val="center"/>
          </w:tcPr>
          <w:p w14:paraId="442842F1">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22</w:t>
            </w:r>
          </w:p>
        </w:tc>
        <w:tc>
          <w:tcPr>
            <w:tcW w:w="1569" w:type="dxa"/>
            <w:shd w:val="clear" w:color="auto" w:fill="auto"/>
            <w:vAlign w:val="center"/>
          </w:tcPr>
          <w:p w14:paraId="579CF702">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5.79</w:t>
            </w:r>
          </w:p>
        </w:tc>
        <w:tc>
          <w:tcPr>
            <w:tcW w:w="1676" w:type="dxa"/>
            <w:shd w:val="clear" w:color="auto" w:fill="auto"/>
            <w:vAlign w:val="center"/>
          </w:tcPr>
          <w:p w14:paraId="3BBCF14D">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16.21</w:t>
            </w:r>
          </w:p>
        </w:tc>
        <w:tc>
          <w:tcPr>
            <w:tcW w:w="1010" w:type="pct"/>
            <w:vMerge w:val="continue"/>
            <w:vAlign w:val="center"/>
          </w:tcPr>
          <w:p w14:paraId="5A81EE30">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r w14:paraId="5810CA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7C33B603">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履职效能</w:t>
            </w:r>
          </w:p>
        </w:tc>
        <w:tc>
          <w:tcPr>
            <w:tcW w:w="1571" w:type="dxa"/>
            <w:shd w:val="clear" w:color="auto" w:fill="auto"/>
            <w:vAlign w:val="center"/>
          </w:tcPr>
          <w:p w14:paraId="66DA7890">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37</w:t>
            </w:r>
          </w:p>
        </w:tc>
        <w:tc>
          <w:tcPr>
            <w:tcW w:w="1569" w:type="dxa"/>
            <w:shd w:val="clear" w:color="auto" w:fill="auto"/>
            <w:vAlign w:val="center"/>
          </w:tcPr>
          <w:p w14:paraId="665026AB">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3.69</w:t>
            </w:r>
          </w:p>
        </w:tc>
        <w:tc>
          <w:tcPr>
            <w:tcW w:w="1676" w:type="dxa"/>
            <w:shd w:val="clear" w:color="auto" w:fill="auto"/>
            <w:vAlign w:val="center"/>
          </w:tcPr>
          <w:p w14:paraId="2BE85FB7">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33.31</w:t>
            </w:r>
          </w:p>
        </w:tc>
        <w:tc>
          <w:tcPr>
            <w:tcW w:w="1010" w:type="pct"/>
            <w:vMerge w:val="continue"/>
            <w:vAlign w:val="center"/>
          </w:tcPr>
          <w:p w14:paraId="0CACB10C">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r w14:paraId="016624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173023AF">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社会效益</w:t>
            </w:r>
          </w:p>
        </w:tc>
        <w:tc>
          <w:tcPr>
            <w:tcW w:w="1571" w:type="dxa"/>
            <w:shd w:val="clear" w:color="auto" w:fill="auto"/>
            <w:vAlign w:val="center"/>
          </w:tcPr>
          <w:p w14:paraId="2CD5B882">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21</w:t>
            </w:r>
          </w:p>
        </w:tc>
        <w:tc>
          <w:tcPr>
            <w:tcW w:w="1569" w:type="dxa"/>
            <w:shd w:val="clear" w:color="auto" w:fill="auto"/>
            <w:vAlign w:val="center"/>
          </w:tcPr>
          <w:p w14:paraId="1E141517">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0</w:t>
            </w:r>
          </w:p>
        </w:tc>
        <w:tc>
          <w:tcPr>
            <w:tcW w:w="1676" w:type="dxa"/>
            <w:shd w:val="clear" w:color="auto" w:fill="auto"/>
            <w:vAlign w:val="center"/>
          </w:tcPr>
          <w:p w14:paraId="0379E03C">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21</w:t>
            </w:r>
          </w:p>
        </w:tc>
        <w:tc>
          <w:tcPr>
            <w:tcW w:w="1010" w:type="pct"/>
            <w:vMerge w:val="continue"/>
            <w:vAlign w:val="center"/>
          </w:tcPr>
          <w:p w14:paraId="759C1F35">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r w14:paraId="609E98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4681BA7F">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可持续发展能力</w:t>
            </w:r>
          </w:p>
        </w:tc>
        <w:tc>
          <w:tcPr>
            <w:tcW w:w="1571" w:type="dxa"/>
            <w:shd w:val="clear" w:color="auto" w:fill="auto"/>
            <w:vAlign w:val="center"/>
          </w:tcPr>
          <w:p w14:paraId="79DC87AE">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7</w:t>
            </w:r>
          </w:p>
        </w:tc>
        <w:tc>
          <w:tcPr>
            <w:tcW w:w="1569" w:type="dxa"/>
            <w:shd w:val="clear" w:color="auto" w:fill="auto"/>
            <w:vAlign w:val="center"/>
          </w:tcPr>
          <w:p w14:paraId="1C4E18F2">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0.5</w:t>
            </w:r>
          </w:p>
        </w:tc>
        <w:tc>
          <w:tcPr>
            <w:tcW w:w="1676" w:type="dxa"/>
            <w:shd w:val="clear" w:color="auto" w:fill="auto"/>
            <w:vAlign w:val="center"/>
          </w:tcPr>
          <w:p w14:paraId="7B1FC3C4">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6.5</w:t>
            </w:r>
          </w:p>
        </w:tc>
        <w:tc>
          <w:tcPr>
            <w:tcW w:w="1010" w:type="pct"/>
            <w:vMerge w:val="continue"/>
            <w:vAlign w:val="center"/>
          </w:tcPr>
          <w:p w14:paraId="0CA63DD4">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r w14:paraId="07961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3F58BF73">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服务对象满意度</w:t>
            </w:r>
          </w:p>
        </w:tc>
        <w:tc>
          <w:tcPr>
            <w:tcW w:w="1571" w:type="dxa"/>
            <w:shd w:val="clear" w:color="auto" w:fill="auto"/>
            <w:vAlign w:val="center"/>
          </w:tcPr>
          <w:p w14:paraId="4AB5637C">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5</w:t>
            </w:r>
          </w:p>
        </w:tc>
        <w:tc>
          <w:tcPr>
            <w:tcW w:w="1569" w:type="dxa"/>
            <w:shd w:val="clear" w:color="auto" w:fill="auto"/>
            <w:vAlign w:val="center"/>
          </w:tcPr>
          <w:p w14:paraId="2BB67B8B">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0</w:t>
            </w:r>
          </w:p>
        </w:tc>
        <w:tc>
          <w:tcPr>
            <w:tcW w:w="1676" w:type="dxa"/>
            <w:shd w:val="clear" w:color="auto" w:fill="auto"/>
            <w:vAlign w:val="center"/>
          </w:tcPr>
          <w:p w14:paraId="12AE41C4">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5</w:t>
            </w:r>
          </w:p>
        </w:tc>
        <w:tc>
          <w:tcPr>
            <w:tcW w:w="1010" w:type="pct"/>
            <w:vMerge w:val="continue"/>
            <w:vAlign w:val="center"/>
          </w:tcPr>
          <w:p w14:paraId="421DAD82">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r w14:paraId="23CFB1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24AEF3AA">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rPr>
              <w:t>综合绩效</w:t>
            </w:r>
          </w:p>
        </w:tc>
        <w:tc>
          <w:tcPr>
            <w:tcW w:w="1571" w:type="dxa"/>
            <w:shd w:val="clear" w:color="auto" w:fill="auto"/>
            <w:vAlign w:val="center"/>
          </w:tcPr>
          <w:p w14:paraId="66C6841E">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val="en-US" w:eastAsia="zh-CN"/>
              </w:rPr>
              <w:t>100</w:t>
            </w:r>
          </w:p>
        </w:tc>
        <w:tc>
          <w:tcPr>
            <w:tcW w:w="1569" w:type="dxa"/>
            <w:shd w:val="clear" w:color="auto" w:fill="auto"/>
            <w:vAlign w:val="center"/>
          </w:tcPr>
          <w:p w14:paraId="68C7580D">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val="en-US" w:eastAsia="zh-CN"/>
              </w:rPr>
              <w:t>13.41</w:t>
            </w:r>
          </w:p>
        </w:tc>
        <w:tc>
          <w:tcPr>
            <w:tcW w:w="1676" w:type="dxa"/>
            <w:shd w:val="clear" w:color="auto" w:fill="auto"/>
            <w:vAlign w:val="center"/>
          </w:tcPr>
          <w:p w14:paraId="4289CCCE">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val="en-US" w:eastAsia="zh-CN"/>
              </w:rPr>
              <w:t>86.59</w:t>
            </w:r>
          </w:p>
        </w:tc>
        <w:tc>
          <w:tcPr>
            <w:tcW w:w="1010" w:type="pct"/>
            <w:vMerge w:val="continue"/>
            <w:vAlign w:val="center"/>
          </w:tcPr>
          <w:p w14:paraId="3B82CBC2">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bl>
    <w:p w14:paraId="71E908B7">
      <w:pPr>
        <w:pStyle w:val="3"/>
        <w:keepNext w:val="0"/>
        <w:keepLines w:val="0"/>
        <w:overflowPunct w:val="0"/>
        <w:autoSpaceDE w:val="0"/>
        <w:autoSpaceDN w:val="0"/>
        <w:ind w:firstLine="473"/>
        <w:outlineLvl w:val="1"/>
        <w:rPr>
          <w:rFonts w:hint="eastAsia" w:ascii="Times New Roman" w:hAnsi="Times New Roman"/>
          <w:highlight w:val="none"/>
        </w:rPr>
      </w:pPr>
      <w:bookmarkStart w:id="2" w:name="_Toc21407"/>
      <w:r>
        <w:rPr>
          <w:rFonts w:hint="eastAsia" w:ascii="Times New Roman" w:hAnsi="Times New Roman"/>
          <w:highlight w:val="none"/>
        </w:rPr>
        <w:t>（二）绩效评价指标情况</w:t>
      </w:r>
      <w:bookmarkEnd w:id="2"/>
    </w:p>
    <w:p w14:paraId="69116E19">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1.运行成本</w:t>
      </w:r>
    </w:p>
    <w:p w14:paraId="62E9B330">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运行成本指标总分8分，实际得分4.57分，整体控制成效待提升。</w:t>
      </w:r>
    </w:p>
    <w:p w14:paraId="59E874A6">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公用经费控制率188.04%（权重2分不得分）、在职人员控制率114.29%（权重2分得0.57分），两项存在短板；但项目支出成本控制良好，会议费列支为0、“三公”经费同比降43.55%，均获满分。总体看，人员规模与公用经费管控存在短板，需优化编制管理与预算执行刚性。</w:t>
      </w:r>
    </w:p>
    <w:p w14:paraId="45CFF0F3">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2.管理效率</w:t>
      </w:r>
    </w:p>
    <w:p w14:paraId="2A4F6565">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管理效率指标总分22分，实际得分16.21分，整体呈“优缺并存”。</w:t>
      </w:r>
    </w:p>
    <w:p w14:paraId="32B01B7B">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战略管理、资产管理、财务管理表现优异，规划契合国家部署、资产财务制度健全合规；预算编制科学合理但调整率达1076.81%（不得分），预算执行率100%但结转结余、采购执行略有扣分；绩效管理短板明显，未开展事中监控与自评，评价结果应用缺失，拉低整体得分。</w:t>
      </w:r>
    </w:p>
    <w:p w14:paraId="291B1D38">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3.履职效能</w:t>
      </w:r>
    </w:p>
    <w:p w14:paraId="22128AEA">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履职效能指标总分37分，实际得分33.31分，全年履职成效显著。</w:t>
      </w:r>
    </w:p>
    <w:p w14:paraId="045962C7">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基层医疗服务中云系统全覆盖、机构巡查达标；公共卫生服务考核频次足够、精神障碍患者全管理；健康城市建设爱国卫生运动、职业病监测均落实；优生优育与人口服务出生人口及托位增长率超标准，新生儿“一件事”办理推进中；行业安全与应急管理多指标达标，仅医疗废物因分类、转运不规范等问题不得分，整体履职成效较好，局部领域需改进。</w:t>
      </w:r>
    </w:p>
    <w:p w14:paraId="742F30A0">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4.社会效益</w:t>
      </w:r>
    </w:p>
    <w:p w14:paraId="2B0DDB91">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社会效应指标总分21分，实际得分21分，综合效益良好。</w:t>
      </w:r>
    </w:p>
    <w:p w14:paraId="52270106">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经济效益上，医疗资源按需求优化布局、医保基金合规高效使用、公共卫生投入转化良好；社会效益上，109个检查问题整改率100%，基层卫生服务效能与公共卫生应急能力显著提升；生态效益上，新建社区卫生服务站、推进爱国卫生运动，改善区域生态与健康环境，全方位契合评价要求。</w:t>
      </w:r>
    </w:p>
    <w:p w14:paraId="3D5F1FF1">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5.可持续发展能力</w:t>
      </w:r>
    </w:p>
    <w:p w14:paraId="70A2FC4F">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可持续发展能力指标总分7分，实际得分6.5分，支撑体系基本健全。</w:t>
      </w:r>
    </w:p>
    <w:p w14:paraId="4A642889">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区卫健局体制机制改革成效显著，服务与行政管理体制改革均达标；人才支撑上，业务培训完成率100%、队伍建设规划合理，但高学历高层次人才储备不足，扣0.5分；科技支撑有力，信息化建设完善、科技赋能服务高效，整体为区域卫生健康可持续发展提供较好保障。</w:t>
      </w:r>
    </w:p>
    <w:p w14:paraId="7F73EC9A">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6.满意度</w:t>
      </w:r>
    </w:p>
    <w:p w14:paraId="58224599">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服务对象满意度指标总分5分，实际得分5分，公众认可度高。评价人员通过随机抽样方式，向40名群众发放调查问卷，针对卫健局履职效果开展满意度调查。结果显示，92.5%的受访群众对区卫健局的工作表示满意，该结果符合满意度指标评分标准，无扣分情况，充分体现出区卫健局的履职成效得到了群众的广泛认可。</w:t>
      </w:r>
    </w:p>
    <w:p w14:paraId="28C905F1">
      <w:pPr>
        <w:pStyle w:val="3"/>
        <w:keepNext w:val="0"/>
        <w:keepLines w:val="0"/>
        <w:overflowPunct w:val="0"/>
        <w:autoSpaceDE w:val="0"/>
        <w:autoSpaceDN w:val="0"/>
        <w:ind w:firstLine="473"/>
        <w:outlineLvl w:val="1"/>
        <w:rPr>
          <w:rFonts w:hint="eastAsia" w:ascii="Times New Roman" w:hAnsi="Times New Roman"/>
          <w:highlight w:val="none"/>
        </w:rPr>
      </w:pPr>
      <w:bookmarkStart w:id="3" w:name="_Toc21166"/>
      <w:r>
        <w:rPr>
          <w:rFonts w:hint="eastAsia" w:ascii="Times New Roman" w:hAnsi="Times New Roman"/>
          <w:highlight w:val="none"/>
        </w:rPr>
        <w:t>（三）主要成效、存在的突出问题和原因</w:t>
      </w:r>
      <w:bookmarkEnd w:id="3"/>
    </w:p>
    <w:p w14:paraId="42F5B7C2">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1.主要成效</w:t>
      </w:r>
    </w:p>
    <w:p w14:paraId="4A93CC85">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highlight w:val="none"/>
          <w:lang w:val="en-US" w:eastAsia="zh-CN"/>
        </w:rPr>
      </w:pPr>
      <w:r>
        <w:rPr>
          <w:rFonts w:hint="eastAsia" w:ascii="Times New Roman" w:hAnsi="Times New Roman"/>
          <w:highlight w:val="none"/>
          <w:lang w:val="en-US" w:eastAsia="zh-CN"/>
        </w:rPr>
        <w:t>（1）公共卫生安全防线筑牢，应急响应能力显著提升​</w:t>
      </w:r>
    </w:p>
    <w:p w14:paraId="35761136">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实现1074名严重精神障碍患者100%精准管理，全年处置1000余条疫情预警信号、8起聚集性疫情，应急救护培训超计划27.5%；通过“早监测、早处置”机制，有效防范疾病传播风险，为区域公共卫生安全提供坚实保障，彰显卫健部门应急担当。​</w:t>
      </w:r>
    </w:p>
    <w:p w14:paraId="244C4E30">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highlight w:val="none"/>
          <w:lang w:val="en-US" w:eastAsia="zh-CN"/>
        </w:rPr>
      </w:pPr>
      <w:r>
        <w:rPr>
          <w:rFonts w:hint="eastAsia" w:ascii="Times New Roman" w:hAnsi="Times New Roman"/>
          <w:highlight w:val="none"/>
          <w:lang w:val="en-US" w:eastAsia="zh-CN"/>
        </w:rPr>
        <w:t>（2）民生健康服务持续升级，居民获得感全面增强​</w:t>
      </w:r>
    </w:p>
    <w:p w14:paraId="723C2BC5">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建成“15分钟就医圈”，基层医疗云系统全覆盖打通数据壁垒；出生人口增长率7.475%超全国水平，普惠托位增长62%破解“托育难”；92.5%群众满意度背后，是医疗资源优化、民生需求响应的深度落地，健康福祉惠及更多群体。​</w:t>
      </w:r>
    </w:p>
    <w:p w14:paraId="5B4BC72F">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highlight w:val="none"/>
          <w:lang w:val="en-US" w:eastAsia="zh-CN"/>
        </w:rPr>
      </w:pPr>
      <w:r>
        <w:rPr>
          <w:rFonts w:hint="eastAsia" w:ascii="Times New Roman" w:hAnsi="Times New Roman"/>
          <w:highlight w:val="none"/>
          <w:lang w:val="en-US" w:eastAsia="zh-CN"/>
        </w:rPr>
        <w:t>（3）治理效能与创新赋能并进，发展基础不断夯实​</w:t>
      </w:r>
    </w:p>
    <w:p w14:paraId="513E90BB">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预算执行率100%、“三公”经费降43.55%，财务与资产管理规范高效；76家云诊所落地、公卫医疗数据互通，信息化赋能服务提质；基层人才培训全覆盖，体制机制改革深化，为卫健事业高质量发展注入长效动力。​</w:t>
      </w:r>
    </w:p>
    <w:p w14:paraId="718B994F">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2.存在的突出问题和原因</w:t>
      </w:r>
    </w:p>
    <w:p w14:paraId="7038B200">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highlight w:val="none"/>
          <w:lang w:val="en-US"/>
        </w:rPr>
      </w:pPr>
      <w:r>
        <w:rPr>
          <w:rFonts w:hint="eastAsia" w:ascii="Times New Roman" w:hAnsi="Times New Roman"/>
          <w:highlight w:val="none"/>
          <w:lang w:val="en-US"/>
        </w:rPr>
        <w:t>（1）预算编制的准确及合理性有待提高</w:t>
      </w:r>
    </w:p>
    <w:p w14:paraId="3A7CB043">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highlight w:val="none"/>
          <w:lang w:val="en-US"/>
        </w:rPr>
      </w:pPr>
      <w:r>
        <w:rPr>
          <w:rFonts w:hint="eastAsia" w:ascii="Times New Roman" w:hAnsi="Times New Roman"/>
          <w:highlight w:val="none"/>
          <w:lang w:val="en-US"/>
        </w:rPr>
        <w:t>预算编制框架虽符合规范，但年度预算调整幅度远超合理范围，调整率高达1076.81%。反映出年初对全年工作的战略预判与实际业务需求匹配度低，未能将公共卫生服务拓展、医疗体系建设等新增重点任务的资金需求纳入整体规划，导致财政资源统筹缺乏前瞻性，直接影响资金配置的稳定性与高效性。</w:t>
      </w:r>
    </w:p>
    <w:p w14:paraId="0FC72CD3">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highlight w:val="none"/>
          <w:lang w:val="en-US"/>
        </w:rPr>
      </w:pPr>
      <w:r>
        <w:rPr>
          <w:rFonts w:hint="eastAsia" w:ascii="Times New Roman" w:hAnsi="Times New Roman"/>
          <w:highlight w:val="none"/>
          <w:lang w:val="en-US"/>
        </w:rPr>
        <w:t>（</w:t>
      </w:r>
      <w:r>
        <w:rPr>
          <w:rFonts w:hint="eastAsia" w:ascii="Times New Roman" w:hAnsi="Times New Roman"/>
          <w:highlight w:val="none"/>
          <w:lang w:val="en-US" w:eastAsia="zh-CN"/>
        </w:rPr>
        <w:t>2</w:t>
      </w:r>
      <w:r>
        <w:rPr>
          <w:rFonts w:hint="eastAsia" w:ascii="Times New Roman" w:hAnsi="Times New Roman"/>
          <w:highlight w:val="none"/>
          <w:lang w:val="en-US"/>
        </w:rPr>
        <w:t>）绩效管理工作需进一步落实</w:t>
      </w:r>
    </w:p>
    <w:p w14:paraId="359BC6A0">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highlight w:val="none"/>
          <w:lang w:val="en-US"/>
        </w:rPr>
      </w:pPr>
      <w:r>
        <w:rPr>
          <w:rFonts w:hint="eastAsia" w:ascii="Times New Roman" w:hAnsi="Times New Roman"/>
          <w:highlight w:val="none"/>
          <w:lang w:val="en-US"/>
        </w:rPr>
        <w:t>一方面，绩效目标设定未紧扣核心职责，履职效能仅设2项指标，且缺失基层医疗服务覆盖率等关键产出指标，同时2024年未建立事中动态监控机制，无法及时校准资金使用、项目推进中的偏差；另一方面，未开展重点项目及部门整体支出自评，无评价成果支撑工作优化，且“评价—反馈—改进”机制缺位，导致前期预算调整、目标不完整等问题无法反馈至下一年度，绩效管理“以评促管”的导向作用未落地。</w:t>
      </w:r>
    </w:p>
    <w:p w14:paraId="652F0580">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highlight w:val="none"/>
          <w:lang w:val="en-US"/>
        </w:rPr>
      </w:pPr>
      <w:r>
        <w:rPr>
          <w:rFonts w:hint="eastAsia" w:ascii="Times New Roman" w:hAnsi="Times New Roman"/>
          <w:highlight w:val="none"/>
          <w:lang w:val="en-US"/>
        </w:rPr>
        <w:t>（</w:t>
      </w:r>
      <w:r>
        <w:rPr>
          <w:rFonts w:hint="eastAsia" w:ascii="Times New Roman" w:hAnsi="Times New Roman"/>
          <w:highlight w:val="none"/>
          <w:lang w:val="en-US" w:eastAsia="zh-CN"/>
        </w:rPr>
        <w:t>3</w:t>
      </w:r>
      <w:r>
        <w:rPr>
          <w:rFonts w:hint="eastAsia" w:ascii="Times New Roman" w:hAnsi="Times New Roman"/>
          <w:highlight w:val="none"/>
          <w:lang w:val="en-US"/>
        </w:rPr>
        <w:t>）资产、资金管理有待加强</w:t>
      </w:r>
    </w:p>
    <w:p w14:paraId="1E162B3B">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highlight w:val="none"/>
          <w:lang w:val="en-US"/>
        </w:rPr>
      </w:pPr>
      <w:r>
        <w:rPr>
          <w:rFonts w:hint="eastAsia" w:ascii="Times New Roman" w:hAnsi="Times New Roman"/>
          <w:highlight w:val="none"/>
          <w:lang w:val="en-US"/>
        </w:rPr>
        <w:t>公用经费控制偏离合理范围，控制率达188.04%（实际支出17.35万元，预算32.63万元），反映出预算测算与日常管控的制度衔接存在不足；资金结转结余率1.96%（结转41.67万元，调整预算2127.37万元），政府采购执行率90.83%（实际1.14万元，预算1.26万元），本质是资源使用全流程精细化管控不足，未能实现“资金跟着需求走、执行跟着计划走”，导致部分资源未能高效转化为服务效能。</w:t>
      </w:r>
    </w:p>
    <w:p w14:paraId="4805CE62">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highlight w:val="none"/>
          <w:lang w:val="en-US"/>
        </w:rPr>
      </w:pPr>
      <w:r>
        <w:rPr>
          <w:rFonts w:hint="eastAsia" w:ascii="Times New Roman" w:hAnsi="Times New Roman"/>
          <w:highlight w:val="none"/>
          <w:lang w:val="en-US"/>
        </w:rPr>
        <w:t>（</w:t>
      </w:r>
      <w:r>
        <w:rPr>
          <w:rFonts w:hint="eastAsia" w:ascii="Times New Roman" w:hAnsi="Times New Roman"/>
          <w:highlight w:val="none"/>
          <w:lang w:val="en-US" w:eastAsia="zh-CN"/>
        </w:rPr>
        <w:t>4</w:t>
      </w:r>
      <w:r>
        <w:rPr>
          <w:rFonts w:hint="eastAsia" w:ascii="Times New Roman" w:hAnsi="Times New Roman"/>
          <w:highlight w:val="none"/>
          <w:lang w:val="en-US"/>
        </w:rPr>
        <w:t>）业务管理有待加强</w:t>
      </w:r>
    </w:p>
    <w:p w14:paraId="0F0C8F2A">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Times New Roman" w:hAnsi="Times New Roman"/>
          <w:highlight w:val="none"/>
          <w:lang w:val="en-US"/>
        </w:rPr>
        <w:t>便民业务推进滞后，新生儿出生“一件事”线上办理实际完成35件（目标80件），反映服务供给与群众“高效办事”需求适配性不足，资源统筹能力欠缺；医疗废物管理存在分类不规范、转运不标准、记录不完整等问题，反映公共卫生安全全流程监管体系有漏洞；高学历人才仅2人（研究生学历或副高职称），凸显人才战略与基层医疗升级、公卫科研需求脱节，长期将影响部门履职能力可持续提升</w:t>
      </w:r>
      <w:r>
        <w:rPr>
          <w:rFonts w:hint="eastAsia" w:ascii="仿宋" w:hAnsi="仿宋" w:cs="Times New Roman"/>
          <w:bCs/>
          <w:kern w:val="0"/>
          <w:szCs w:val="32"/>
          <w:highlight w:val="none"/>
          <w:lang w:val="en-US" w:eastAsia="zh-CN"/>
        </w:rPr>
        <w:t>。</w:t>
      </w:r>
    </w:p>
    <w:p w14:paraId="0CF19554">
      <w:pPr>
        <w:pStyle w:val="3"/>
        <w:keepNext w:val="0"/>
        <w:keepLines w:val="0"/>
        <w:overflowPunct w:val="0"/>
        <w:autoSpaceDE w:val="0"/>
        <w:autoSpaceDN w:val="0"/>
        <w:ind w:firstLine="473"/>
        <w:outlineLvl w:val="1"/>
        <w:rPr>
          <w:rFonts w:hint="eastAsia" w:ascii="Times New Roman" w:hAnsi="Times New Roman"/>
          <w:highlight w:val="none"/>
        </w:rPr>
      </w:pPr>
      <w:bookmarkStart w:id="4" w:name="_Toc8748"/>
      <w:r>
        <w:rPr>
          <w:rFonts w:hint="eastAsia" w:ascii="Times New Roman" w:hAnsi="Times New Roman"/>
          <w:highlight w:val="none"/>
        </w:rPr>
        <w:t>（四）下一步拟改进措施</w:t>
      </w:r>
      <w:bookmarkEnd w:id="4"/>
    </w:p>
    <w:p w14:paraId="2AFA636D">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bookmarkStart w:id="5" w:name="_Toc13284"/>
      <w:r>
        <w:rPr>
          <w:rFonts w:hint="eastAsia" w:ascii="楷体" w:hAnsi="楷体" w:eastAsia="楷体" w:cs="楷体"/>
          <w:b w:val="0"/>
          <w:bCs w:val="0"/>
          <w:kern w:val="0"/>
          <w:sz w:val="32"/>
          <w:szCs w:val="32"/>
          <w:highlight w:val="none"/>
          <w:lang w:val="en-US" w:eastAsia="zh-CN" w:bidi="ar-SA"/>
        </w:rPr>
        <w:t>1.提高预算编审的准确性</w:t>
      </w:r>
      <w:bookmarkEnd w:id="5"/>
    </w:p>
    <w:p w14:paraId="62C51101">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构建“需求－规划－调整”体系，编制前摸排公共卫生拓展、医疗体系建设等任务资金需求，绑定“十四五”规划与年度重点工作，规范调整审批流程，提升资源统筹前瞻性。</w:t>
      </w:r>
    </w:p>
    <w:p w14:paraId="3D2A4D59">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bookmarkStart w:id="6" w:name="_Toc3815"/>
      <w:r>
        <w:rPr>
          <w:rFonts w:hint="eastAsia" w:ascii="楷体" w:hAnsi="楷体" w:eastAsia="楷体" w:cs="楷体"/>
          <w:b w:val="0"/>
          <w:bCs w:val="0"/>
          <w:kern w:val="0"/>
          <w:sz w:val="32"/>
          <w:szCs w:val="32"/>
          <w:highlight w:val="none"/>
          <w:lang w:val="en-US" w:eastAsia="zh-CN" w:bidi="ar-SA"/>
        </w:rPr>
        <w:t>2.进一步落实绩效管理各阶段工作</w:t>
      </w:r>
    </w:p>
    <w:p w14:paraId="1AE61E16">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补充基层医疗覆盖率等核心指标，建立季度事中监控机制，年末组织重点项目与整体支出自评，将评价结果与下年预算、立项挂钩，形成“评价－改进”闭环。</w:t>
      </w:r>
    </w:p>
    <w:p w14:paraId="091CE1CD">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3.加强资产、资金管理</w:t>
      </w:r>
      <w:bookmarkEnd w:id="6"/>
    </w:p>
    <w:p w14:paraId="340F249B">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动态核定公用经费定额，清理闲置结转资金；优化政府采购流程，明确需求与节点，安排专人跟进，推动资源高效转化为服务效能。</w:t>
      </w:r>
    </w:p>
    <w:p w14:paraId="43FC0B73">
      <w:pPr>
        <w:pStyle w:val="4"/>
        <w:spacing w:before="0" w:after="0" w:line="560" w:lineRule="exact"/>
        <w:ind w:firstLine="632" w:firstLineChars="200"/>
        <w:outlineLvl w:val="2"/>
        <w:rPr>
          <w:rFonts w:hint="default"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4.加强业务管理水平建设</w:t>
      </w:r>
    </w:p>
    <w:p w14:paraId="37501D02">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优化新生儿“一件事”线上流程，强化办理进度跟踪；制定医疗废物管理细则，开展季度督查与整改；出台人才发展计划，引育高层次人才，补齐服务、监管、人才短板。</w:t>
      </w:r>
    </w:p>
    <w:p w14:paraId="52762965">
      <w:pPr>
        <w:pStyle w:val="2"/>
        <w:keepNext/>
        <w:keepLines/>
        <w:pageBreakBefore w:val="0"/>
        <w:widowControl w:val="0"/>
        <w:tabs>
          <w:tab w:val="center" w:pos="4780"/>
        </w:tabs>
        <w:kinsoku/>
        <w:wordWrap/>
        <w:overflowPunct/>
        <w:topLinePunct w:val="0"/>
        <w:autoSpaceDE/>
        <w:autoSpaceDN/>
        <w:bidi w:val="0"/>
        <w:adjustRightInd/>
        <w:snapToGrid/>
        <w:spacing w:before="0" w:after="0" w:line="560" w:lineRule="exact"/>
        <w:ind w:firstLine="632" w:firstLineChars="200"/>
        <w:textAlignment w:val="auto"/>
        <w:outlineLvl w:val="0"/>
        <w:rPr>
          <w:rFonts w:hint="eastAsia" w:ascii="黑体" w:hAnsi="黑体" w:eastAsia="黑体" w:cs="Times New Roman"/>
          <w:b w:val="0"/>
          <w:bCs w:val="0"/>
          <w:kern w:val="0"/>
          <w:sz w:val="32"/>
          <w:szCs w:val="32"/>
          <w:highlight w:val="none"/>
        </w:rPr>
      </w:pPr>
      <w:bookmarkStart w:id="7" w:name="_Toc26789"/>
      <w:r>
        <w:rPr>
          <w:rFonts w:hint="eastAsia" w:ascii="黑体" w:hAnsi="黑体" w:eastAsia="黑体" w:cs="Times New Roman"/>
          <w:b w:val="0"/>
          <w:bCs w:val="0"/>
          <w:kern w:val="0"/>
          <w:sz w:val="32"/>
          <w:szCs w:val="32"/>
          <w:highlight w:val="none"/>
        </w:rPr>
        <w:t>二、佐证材料</w:t>
      </w:r>
      <w:bookmarkEnd w:id="7"/>
    </w:p>
    <w:p w14:paraId="1A1EEF05">
      <w:pPr>
        <w:pStyle w:val="3"/>
        <w:keepNext w:val="0"/>
        <w:keepLines w:val="0"/>
        <w:overflowPunct w:val="0"/>
        <w:autoSpaceDE w:val="0"/>
        <w:autoSpaceDN w:val="0"/>
        <w:ind w:firstLine="473"/>
        <w:outlineLvl w:val="1"/>
        <w:rPr>
          <w:rFonts w:hint="eastAsia" w:ascii="Times New Roman" w:hAnsi="Times New Roman"/>
          <w:highlight w:val="none"/>
        </w:rPr>
      </w:pPr>
      <w:bookmarkStart w:id="8" w:name="_Toc17399"/>
      <w:bookmarkStart w:id="9" w:name="_Toc26003"/>
      <w:bookmarkStart w:id="10" w:name="_Toc10592"/>
      <w:r>
        <w:rPr>
          <w:rFonts w:hint="eastAsia" w:ascii="Times New Roman" w:hAnsi="Times New Roman"/>
          <w:highlight w:val="none"/>
        </w:rPr>
        <w:t>（一）基本情况</w:t>
      </w:r>
      <w:bookmarkEnd w:id="8"/>
      <w:bookmarkEnd w:id="9"/>
      <w:bookmarkEnd w:id="10"/>
      <w:bookmarkStart w:id="11" w:name="_Toc10957"/>
    </w:p>
    <w:p w14:paraId="2FC458CD">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bookmarkStart w:id="12" w:name="_Toc28219"/>
      <w:r>
        <w:rPr>
          <w:rFonts w:hint="eastAsia" w:ascii="楷体" w:hAnsi="楷体" w:eastAsia="楷体" w:cs="楷体"/>
          <w:b w:val="0"/>
          <w:bCs w:val="0"/>
          <w:kern w:val="0"/>
          <w:sz w:val="32"/>
          <w:szCs w:val="32"/>
          <w:highlight w:val="none"/>
          <w:lang w:val="en-US" w:eastAsia="zh-CN" w:bidi="ar-SA"/>
        </w:rPr>
        <w:t>1.部门支出情况及重点工作</w:t>
      </w:r>
      <w:bookmarkEnd w:id="11"/>
      <w:bookmarkEnd w:id="12"/>
    </w:p>
    <w:p w14:paraId="1A8F7CFA">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（1）部门支出情况</w:t>
      </w:r>
    </w:p>
    <w:p w14:paraId="0DBA47C2">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经查阅核实，部门预算收支情况如下表（单位元）：</w:t>
      </w:r>
    </w:p>
    <w:tbl>
      <w:tblPr>
        <w:tblStyle w:val="21"/>
        <w:tblW w:w="4998" w:type="pct"/>
        <w:tblInd w:w="0" w:type="dxa"/>
        <w:tblLayout w:type="autofit"/>
        <w:tblCellMar>
          <w:top w:w="0" w:type="dxa"/>
          <w:left w:w="108" w:type="dxa"/>
          <w:bottom w:w="0" w:type="dxa"/>
          <w:right w:w="108" w:type="dxa"/>
        </w:tblCellMar>
      </w:tblPr>
      <w:tblGrid>
        <w:gridCol w:w="2797"/>
        <w:gridCol w:w="2182"/>
        <w:gridCol w:w="2097"/>
        <w:gridCol w:w="1981"/>
      </w:tblGrid>
      <w:tr w14:paraId="6B5DCE6F">
        <w:tblPrEx>
          <w:tblCellMar>
            <w:top w:w="0" w:type="dxa"/>
            <w:left w:w="108" w:type="dxa"/>
            <w:bottom w:w="0" w:type="dxa"/>
            <w:right w:w="108" w:type="dxa"/>
          </w:tblCellMar>
        </w:tblPrEx>
        <w:trPr>
          <w:trHeight w:val="454" w:hRule="atLeast"/>
          <w:tblHeader/>
        </w:trPr>
        <w:tc>
          <w:tcPr>
            <w:tcW w:w="1543" w:type="pct"/>
            <w:tcBorders>
              <w:top w:val="single" w:color="000000" w:sz="12" w:space="0"/>
              <w:left w:val="single" w:color="000000" w:sz="12" w:space="0"/>
              <w:bottom w:val="single" w:color="000000" w:sz="4" w:space="0"/>
              <w:right w:val="single" w:color="000000" w:sz="4" w:space="0"/>
              <w:tl2br w:val="nil"/>
            </w:tcBorders>
            <w:shd w:val="clear" w:color="auto" w:fill="FFFFFF"/>
            <w:noWrap/>
            <w:vAlign w:val="center"/>
          </w:tcPr>
          <w:p w14:paraId="3E5F9526">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项目</w:t>
            </w:r>
          </w:p>
        </w:tc>
        <w:tc>
          <w:tcPr>
            <w:tcW w:w="1204" w:type="pct"/>
            <w:tcBorders>
              <w:top w:val="single" w:color="000000" w:sz="12" w:space="0"/>
              <w:left w:val="single" w:color="000000" w:sz="4" w:space="0"/>
              <w:bottom w:val="single" w:color="000000" w:sz="4" w:space="0"/>
              <w:right w:val="single" w:color="000000" w:sz="4" w:space="0"/>
            </w:tcBorders>
            <w:shd w:val="clear" w:color="auto" w:fill="FFFFFF"/>
            <w:noWrap/>
            <w:vAlign w:val="center"/>
          </w:tcPr>
          <w:p w14:paraId="73E9AB11">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年初预算数</w:t>
            </w:r>
          </w:p>
        </w:tc>
        <w:tc>
          <w:tcPr>
            <w:tcW w:w="1157" w:type="pct"/>
            <w:tcBorders>
              <w:top w:val="single" w:color="000000" w:sz="12" w:space="0"/>
              <w:left w:val="single" w:color="000000" w:sz="4" w:space="0"/>
              <w:bottom w:val="single" w:color="000000" w:sz="4" w:space="0"/>
              <w:right w:val="single" w:color="000000" w:sz="4" w:space="0"/>
            </w:tcBorders>
            <w:shd w:val="clear" w:color="auto" w:fill="FFFFFF"/>
            <w:noWrap/>
            <w:vAlign w:val="center"/>
          </w:tcPr>
          <w:p w14:paraId="6654AA54">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全年预算数</w:t>
            </w:r>
          </w:p>
        </w:tc>
        <w:tc>
          <w:tcPr>
            <w:tcW w:w="1093" w:type="pct"/>
            <w:tcBorders>
              <w:top w:val="single" w:color="000000" w:sz="12" w:space="0"/>
              <w:left w:val="single" w:color="000000" w:sz="4" w:space="0"/>
              <w:bottom w:val="single" w:color="000000" w:sz="4" w:space="0"/>
              <w:right w:val="single" w:color="000000" w:sz="12" w:space="0"/>
            </w:tcBorders>
            <w:shd w:val="clear" w:color="auto" w:fill="FFFFFF"/>
            <w:noWrap/>
            <w:vAlign w:val="center"/>
          </w:tcPr>
          <w:p w14:paraId="59173BCB">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决算数</w:t>
            </w:r>
          </w:p>
        </w:tc>
      </w:tr>
      <w:tr w14:paraId="7CCAC6DE">
        <w:tblPrEx>
          <w:tblCellMar>
            <w:top w:w="0" w:type="dxa"/>
            <w:left w:w="108" w:type="dxa"/>
            <w:bottom w:w="0" w:type="dxa"/>
            <w:right w:w="108" w:type="dxa"/>
          </w:tblCellMar>
        </w:tblPrEx>
        <w:trPr>
          <w:trHeight w:val="454" w:hRule="atLeast"/>
        </w:trPr>
        <w:tc>
          <w:tcPr>
            <w:tcW w:w="1543" w:type="pct"/>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08C5638D">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一、基本支出</w:t>
            </w:r>
          </w:p>
        </w:tc>
        <w:tc>
          <w:tcPr>
            <w:tcW w:w="2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88C901">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1,687,745.66</w:t>
            </w:r>
          </w:p>
        </w:tc>
        <w:tc>
          <w:tcPr>
            <w:tcW w:w="20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93E85A">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1,813,826.43</w:t>
            </w:r>
          </w:p>
        </w:tc>
        <w:tc>
          <w:tcPr>
            <w:tcW w:w="1981"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4645BF5A">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1,813,826.43</w:t>
            </w:r>
          </w:p>
        </w:tc>
      </w:tr>
      <w:tr w14:paraId="0082DA30">
        <w:tblPrEx>
          <w:tblCellMar>
            <w:top w:w="0" w:type="dxa"/>
            <w:left w:w="108" w:type="dxa"/>
            <w:bottom w:w="0" w:type="dxa"/>
            <w:right w:w="108" w:type="dxa"/>
          </w:tblCellMar>
        </w:tblPrEx>
        <w:trPr>
          <w:trHeight w:val="454" w:hRule="atLeast"/>
        </w:trPr>
        <w:tc>
          <w:tcPr>
            <w:tcW w:w="1543" w:type="pct"/>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0A3C376D">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人员经费</w:t>
            </w:r>
          </w:p>
        </w:tc>
        <w:tc>
          <w:tcPr>
            <w:tcW w:w="2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6FEFA">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1,514,242.74</w:t>
            </w:r>
          </w:p>
        </w:tc>
        <w:tc>
          <w:tcPr>
            <w:tcW w:w="20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10A75E">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1,487,563.44</w:t>
            </w:r>
          </w:p>
        </w:tc>
        <w:tc>
          <w:tcPr>
            <w:tcW w:w="1981"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7BF1A639">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1,487,563.44</w:t>
            </w:r>
          </w:p>
        </w:tc>
      </w:tr>
      <w:tr w14:paraId="3C079B78">
        <w:tblPrEx>
          <w:tblCellMar>
            <w:top w:w="0" w:type="dxa"/>
            <w:left w:w="108" w:type="dxa"/>
            <w:bottom w:w="0" w:type="dxa"/>
            <w:right w:w="108" w:type="dxa"/>
          </w:tblCellMar>
        </w:tblPrEx>
        <w:trPr>
          <w:trHeight w:val="454" w:hRule="atLeast"/>
        </w:trPr>
        <w:tc>
          <w:tcPr>
            <w:tcW w:w="1543" w:type="pct"/>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36F9121E">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公用经费</w:t>
            </w:r>
          </w:p>
        </w:tc>
        <w:tc>
          <w:tcPr>
            <w:tcW w:w="2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8E8F6">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173,502.92</w:t>
            </w:r>
          </w:p>
        </w:tc>
        <w:tc>
          <w:tcPr>
            <w:tcW w:w="20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4DDF0F">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326,262.99</w:t>
            </w:r>
          </w:p>
        </w:tc>
        <w:tc>
          <w:tcPr>
            <w:tcW w:w="1981"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0C733D69">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326,262.99</w:t>
            </w:r>
          </w:p>
        </w:tc>
      </w:tr>
      <w:tr w14:paraId="5EBEB263">
        <w:tblPrEx>
          <w:tblCellMar>
            <w:top w:w="0" w:type="dxa"/>
            <w:left w:w="108" w:type="dxa"/>
            <w:bottom w:w="0" w:type="dxa"/>
            <w:right w:w="108" w:type="dxa"/>
          </w:tblCellMar>
        </w:tblPrEx>
        <w:trPr>
          <w:trHeight w:val="454" w:hRule="atLeast"/>
        </w:trPr>
        <w:tc>
          <w:tcPr>
            <w:tcW w:w="1543" w:type="pct"/>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0AE41886">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二、项目支出</w:t>
            </w:r>
          </w:p>
        </w:tc>
        <w:tc>
          <w:tcPr>
            <w:tcW w:w="21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8D7C8E">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120,000.00</w:t>
            </w:r>
          </w:p>
        </w:tc>
        <w:tc>
          <w:tcPr>
            <w:tcW w:w="20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0566A">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19,459,840.64</w:t>
            </w:r>
          </w:p>
        </w:tc>
        <w:tc>
          <w:tcPr>
            <w:tcW w:w="1981" w:type="dxa"/>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782FD9AD">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19,459,840.64</w:t>
            </w:r>
          </w:p>
        </w:tc>
      </w:tr>
      <w:tr w14:paraId="4E123655">
        <w:tblPrEx>
          <w:tblCellMar>
            <w:top w:w="0" w:type="dxa"/>
            <w:left w:w="108" w:type="dxa"/>
            <w:bottom w:w="0" w:type="dxa"/>
            <w:right w:w="108" w:type="dxa"/>
          </w:tblCellMar>
        </w:tblPrEx>
        <w:trPr>
          <w:trHeight w:val="454" w:hRule="atLeast"/>
        </w:trPr>
        <w:tc>
          <w:tcPr>
            <w:tcW w:w="1543" w:type="pct"/>
            <w:tcBorders>
              <w:top w:val="single" w:color="000000" w:sz="4" w:space="0"/>
              <w:left w:val="single" w:color="000000" w:sz="12" w:space="0"/>
              <w:bottom w:val="single" w:color="000000" w:sz="12" w:space="0"/>
              <w:right w:val="single" w:color="000000" w:sz="4" w:space="0"/>
            </w:tcBorders>
            <w:shd w:val="clear" w:color="auto" w:fill="FFFFFF"/>
            <w:noWrap/>
            <w:vAlign w:val="center"/>
          </w:tcPr>
          <w:p w14:paraId="54CE7993">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合计</w:t>
            </w:r>
          </w:p>
        </w:tc>
        <w:tc>
          <w:tcPr>
            <w:tcW w:w="2182" w:type="dxa"/>
            <w:tcBorders>
              <w:top w:val="single" w:color="000000" w:sz="4" w:space="0"/>
              <w:left w:val="single" w:color="000000" w:sz="4" w:space="0"/>
              <w:bottom w:val="single" w:color="000000" w:sz="12" w:space="0"/>
              <w:right w:val="single" w:color="000000" w:sz="4" w:space="0"/>
            </w:tcBorders>
            <w:shd w:val="clear" w:color="auto" w:fill="FFFFFF"/>
            <w:noWrap/>
            <w:vAlign w:val="center"/>
          </w:tcPr>
          <w:p w14:paraId="101ACEAD">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1,807,745.66</w:t>
            </w:r>
          </w:p>
        </w:tc>
        <w:tc>
          <w:tcPr>
            <w:tcW w:w="2097" w:type="dxa"/>
            <w:tcBorders>
              <w:top w:val="single" w:color="000000" w:sz="4" w:space="0"/>
              <w:left w:val="single" w:color="000000" w:sz="4" w:space="0"/>
              <w:bottom w:val="single" w:color="000000" w:sz="12" w:space="0"/>
              <w:right w:val="single" w:color="000000" w:sz="4" w:space="0"/>
            </w:tcBorders>
            <w:shd w:val="clear" w:color="auto" w:fill="FFFFFF"/>
            <w:noWrap/>
            <w:vAlign w:val="center"/>
          </w:tcPr>
          <w:p w14:paraId="6F778741">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21,273,667.07</w:t>
            </w:r>
          </w:p>
        </w:tc>
        <w:tc>
          <w:tcPr>
            <w:tcW w:w="1981" w:type="dxa"/>
            <w:tcBorders>
              <w:top w:val="single" w:color="000000" w:sz="4" w:space="0"/>
              <w:left w:val="single" w:color="000000" w:sz="4" w:space="0"/>
              <w:bottom w:val="single" w:color="000000" w:sz="12" w:space="0"/>
              <w:right w:val="single" w:color="000000" w:sz="12" w:space="0"/>
            </w:tcBorders>
            <w:shd w:val="clear" w:color="auto" w:fill="FFFFFF"/>
            <w:noWrap/>
            <w:vAlign w:val="center"/>
          </w:tcPr>
          <w:p w14:paraId="578CC298">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bidi="ar"/>
              </w:rPr>
            </w:pPr>
            <w:r>
              <w:rPr>
                <w:rFonts w:hint="eastAsia" w:ascii="楷体" w:hAnsi="楷体" w:eastAsia="楷体" w:cs="楷体"/>
                <w:b w:val="0"/>
                <w:color w:val="000000"/>
                <w:kern w:val="0"/>
                <w:sz w:val="22"/>
                <w:szCs w:val="22"/>
                <w:highlight w:val="none"/>
                <w:lang w:val="en-US" w:eastAsia="zh-CN" w:bidi="ar"/>
              </w:rPr>
              <w:t>21,273,667.07</w:t>
            </w:r>
          </w:p>
        </w:tc>
      </w:tr>
    </w:tbl>
    <w:p w14:paraId="2BBB310C">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（2）部门重点工作</w:t>
      </w:r>
    </w:p>
    <w:p w14:paraId="47556EDA">
      <w:pPr>
        <w:pStyle w:val="8"/>
        <w:overflowPunct w:val="0"/>
        <w:autoSpaceDE w:val="0"/>
        <w:autoSpaceDN w:val="0"/>
        <w:spacing w:line="560" w:lineRule="exact"/>
        <w:ind w:firstLine="630"/>
        <w:jc w:val="both"/>
        <w:rPr>
          <w:rFonts w:hint="eastAsia" w:ascii="Times New Roman" w:hAnsi="Times New Roman"/>
          <w:highlight w:val="none"/>
          <w:lang w:val="en-US"/>
        </w:rPr>
      </w:pPr>
      <w:r>
        <w:rPr>
          <w:rFonts w:hint="eastAsia" w:ascii="Times New Roman" w:hAnsi="Times New Roman"/>
          <w:highlight w:val="none"/>
          <w:lang w:val="en-US" w:eastAsia="zh-CN"/>
        </w:rPr>
        <w:t>根据区卫健局制定的《2024年度下陆区卫生健康局部门整体绩效表》，区卫健局2024年主要履职效能如下</w:t>
      </w:r>
      <w:r>
        <w:rPr>
          <w:rFonts w:hint="eastAsia" w:ascii="Times New Roman" w:hAnsi="Times New Roman"/>
          <w:highlight w:val="none"/>
          <w:lang w:val="en-US"/>
        </w:rPr>
        <w:t>：</w:t>
      </w:r>
    </w:p>
    <w:tbl>
      <w:tblPr>
        <w:tblStyle w:val="5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63"/>
        <w:gridCol w:w="2299"/>
        <w:gridCol w:w="2748"/>
        <w:gridCol w:w="2961"/>
      </w:tblGrid>
      <w:tr w14:paraId="2412C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87" w:type="pct"/>
            <w:vMerge w:val="restart"/>
            <w:tcBorders>
              <w:top w:val="single" w:color="000000" w:sz="12" w:space="0"/>
              <w:left w:val="single" w:color="000000" w:sz="12" w:space="0"/>
              <w:bottom w:val="single" w:color="000000" w:sz="4" w:space="0"/>
              <w:tl2br w:val="nil"/>
            </w:tcBorders>
            <w:shd w:val="clear" w:color="auto" w:fill="FFFFFF"/>
            <w:noWrap w:val="0"/>
            <w:vAlign w:val="center"/>
          </w:tcPr>
          <w:p w14:paraId="32865BD7">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val="en-US" w:bidi="ar"/>
              </w:rPr>
            </w:pPr>
            <w:r>
              <w:rPr>
                <w:rFonts w:hint="eastAsia" w:ascii="楷体" w:hAnsi="楷体" w:eastAsia="楷体" w:cs="楷体"/>
                <w:b w:val="0"/>
                <w:color w:val="000000"/>
                <w:kern w:val="0"/>
                <w:sz w:val="22"/>
                <w:szCs w:val="22"/>
                <w:highlight w:val="none"/>
                <w:lang w:val="en-US" w:bidi="ar"/>
              </w:rPr>
              <w:t>履职</w:t>
            </w:r>
          </w:p>
          <w:p w14:paraId="6EF544B7">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val="en-US" w:bidi="ar"/>
              </w:rPr>
            </w:pPr>
            <w:r>
              <w:rPr>
                <w:rFonts w:hint="eastAsia" w:ascii="楷体" w:hAnsi="楷体" w:eastAsia="楷体" w:cs="楷体"/>
                <w:b w:val="0"/>
                <w:color w:val="000000"/>
                <w:kern w:val="0"/>
                <w:sz w:val="22"/>
                <w:szCs w:val="22"/>
                <w:highlight w:val="none"/>
                <w:lang w:val="en-US" w:bidi="ar"/>
              </w:rPr>
              <w:t>效能</w:t>
            </w:r>
          </w:p>
        </w:tc>
        <w:tc>
          <w:tcPr>
            <w:tcW w:w="1295" w:type="pct"/>
            <w:tcBorders>
              <w:top w:val="single" w:color="000000" w:sz="12" w:space="0"/>
            </w:tcBorders>
            <w:shd w:val="clear" w:color="auto" w:fill="FFFFFF"/>
            <w:noWrap w:val="0"/>
            <w:vAlign w:val="center"/>
          </w:tcPr>
          <w:p w14:paraId="3EC1EA54">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val="en-US" w:bidi="ar"/>
              </w:rPr>
            </w:pPr>
            <w:r>
              <w:rPr>
                <w:rFonts w:hint="eastAsia" w:ascii="楷体" w:hAnsi="楷体" w:eastAsia="楷体" w:cs="楷体"/>
                <w:b w:val="0"/>
                <w:color w:val="000000"/>
                <w:kern w:val="0"/>
                <w:sz w:val="22"/>
                <w:szCs w:val="22"/>
                <w:highlight w:val="none"/>
                <w:lang w:val="en-US" w:bidi="ar"/>
              </w:rPr>
              <w:t>核心业务产出1</w:t>
            </w:r>
          </w:p>
        </w:tc>
        <w:tc>
          <w:tcPr>
            <w:tcW w:w="1548" w:type="pct"/>
            <w:tcBorders>
              <w:top w:val="single" w:color="000000" w:sz="12" w:space="0"/>
            </w:tcBorders>
            <w:shd w:val="clear" w:color="auto" w:fill="FFFFFF"/>
            <w:noWrap w:val="0"/>
            <w:vAlign w:val="center"/>
          </w:tcPr>
          <w:p w14:paraId="372795AF">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val="en-US" w:bidi="ar"/>
              </w:rPr>
            </w:pPr>
            <w:r>
              <w:rPr>
                <w:rFonts w:hint="eastAsia" w:ascii="楷体" w:hAnsi="楷体" w:eastAsia="楷体" w:cs="楷体"/>
                <w:b w:val="0"/>
                <w:color w:val="000000"/>
                <w:kern w:val="0"/>
                <w:sz w:val="22"/>
                <w:szCs w:val="22"/>
                <w:highlight w:val="none"/>
                <w:lang w:val="en-US" w:eastAsia="zh-CN" w:bidi="ar"/>
              </w:rPr>
              <w:t>传染病监测完成率</w:t>
            </w:r>
          </w:p>
        </w:tc>
        <w:tc>
          <w:tcPr>
            <w:tcW w:w="1668" w:type="pct"/>
            <w:tcBorders>
              <w:top w:val="single" w:color="000000" w:sz="12" w:space="0"/>
              <w:right w:val="single" w:color="000000" w:sz="12" w:space="0"/>
            </w:tcBorders>
            <w:shd w:val="clear" w:color="auto" w:fill="FFFFFF"/>
            <w:noWrap w:val="0"/>
            <w:vAlign w:val="center"/>
          </w:tcPr>
          <w:p w14:paraId="4FC7BC87">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val="en-US" w:bidi="ar"/>
              </w:rPr>
            </w:pPr>
            <w:r>
              <w:rPr>
                <w:rFonts w:hint="eastAsia" w:ascii="楷体" w:hAnsi="楷体" w:eastAsia="楷体" w:cs="楷体"/>
                <w:b w:val="0"/>
                <w:color w:val="000000"/>
                <w:kern w:val="0"/>
                <w:sz w:val="22"/>
                <w:szCs w:val="22"/>
                <w:highlight w:val="none"/>
                <w:lang w:val="en-US" w:eastAsia="zh-CN" w:bidi="ar"/>
              </w:rPr>
              <w:t>100%</w:t>
            </w:r>
          </w:p>
        </w:tc>
      </w:tr>
      <w:tr w14:paraId="2CA48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87" w:type="pct"/>
            <w:vMerge w:val="continue"/>
            <w:tcBorders>
              <w:top w:val="single" w:color="000000" w:sz="4" w:space="0"/>
              <w:left w:val="single" w:color="000000" w:sz="12" w:space="0"/>
              <w:bottom w:val="single" w:color="000000" w:sz="12" w:space="0"/>
            </w:tcBorders>
            <w:shd w:val="clear" w:color="auto" w:fill="FFFFFF"/>
            <w:noWrap w:val="0"/>
            <w:vAlign w:val="center"/>
          </w:tcPr>
          <w:p w14:paraId="7FC82DC2">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val="en-US" w:bidi="ar"/>
              </w:rPr>
            </w:pPr>
          </w:p>
        </w:tc>
        <w:tc>
          <w:tcPr>
            <w:tcW w:w="1295" w:type="pct"/>
            <w:tcBorders>
              <w:bottom w:val="single" w:color="000000" w:sz="12" w:space="0"/>
            </w:tcBorders>
            <w:shd w:val="clear" w:color="auto" w:fill="FFFFFF"/>
            <w:noWrap w:val="0"/>
            <w:vAlign w:val="center"/>
          </w:tcPr>
          <w:p w14:paraId="759098A3">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val="en-US" w:bidi="ar"/>
              </w:rPr>
            </w:pPr>
            <w:r>
              <w:rPr>
                <w:rFonts w:hint="eastAsia" w:ascii="楷体" w:hAnsi="楷体" w:eastAsia="楷体" w:cs="楷体"/>
                <w:b w:val="0"/>
                <w:color w:val="000000"/>
                <w:kern w:val="0"/>
                <w:sz w:val="22"/>
                <w:szCs w:val="22"/>
                <w:highlight w:val="none"/>
                <w:lang w:val="en-US" w:bidi="ar"/>
              </w:rPr>
              <w:t>核心业务产出2</w:t>
            </w:r>
          </w:p>
        </w:tc>
        <w:tc>
          <w:tcPr>
            <w:tcW w:w="1548" w:type="pct"/>
            <w:tcBorders>
              <w:bottom w:val="single" w:color="000000" w:sz="12" w:space="0"/>
            </w:tcBorders>
            <w:shd w:val="clear" w:color="auto" w:fill="FFFFFF"/>
            <w:noWrap w:val="0"/>
            <w:vAlign w:val="center"/>
          </w:tcPr>
          <w:p w14:paraId="5830AAC6">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val="en-US" w:bidi="ar"/>
              </w:rPr>
            </w:pPr>
            <w:r>
              <w:rPr>
                <w:rFonts w:hint="eastAsia" w:ascii="楷体" w:hAnsi="楷体" w:eastAsia="楷体" w:cs="楷体"/>
                <w:b w:val="0"/>
                <w:color w:val="000000"/>
                <w:kern w:val="0"/>
                <w:sz w:val="22"/>
                <w:szCs w:val="22"/>
                <w:highlight w:val="none"/>
                <w:lang w:val="en-US" w:eastAsia="zh-CN" w:bidi="ar"/>
              </w:rPr>
              <w:t>开展应急救护培训</w:t>
            </w:r>
          </w:p>
        </w:tc>
        <w:tc>
          <w:tcPr>
            <w:tcW w:w="1668" w:type="pct"/>
            <w:tcBorders>
              <w:bottom w:val="single" w:color="000000" w:sz="12" w:space="0"/>
              <w:right w:val="single" w:color="000000" w:sz="12" w:space="0"/>
            </w:tcBorders>
            <w:shd w:val="clear" w:color="auto" w:fill="FFFFFF"/>
            <w:noWrap w:val="0"/>
            <w:vAlign w:val="center"/>
          </w:tcPr>
          <w:p w14:paraId="42ED9CF4">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kern w:val="0"/>
                <w:sz w:val="22"/>
                <w:szCs w:val="22"/>
                <w:highlight w:val="none"/>
                <w:lang w:val="en-US" w:bidi="ar"/>
              </w:rPr>
            </w:pPr>
            <w:r>
              <w:rPr>
                <w:rFonts w:hint="eastAsia" w:ascii="楷体" w:hAnsi="楷体" w:eastAsia="楷体" w:cs="楷体"/>
                <w:b w:val="0"/>
                <w:color w:val="000000"/>
                <w:kern w:val="0"/>
                <w:sz w:val="22"/>
                <w:szCs w:val="22"/>
                <w:highlight w:val="none"/>
                <w:lang w:val="en-US" w:eastAsia="zh-CN" w:bidi="ar"/>
              </w:rPr>
              <w:t>≥500人</w:t>
            </w:r>
          </w:p>
        </w:tc>
      </w:tr>
    </w:tbl>
    <w:p w14:paraId="65838744">
      <w:pPr>
        <w:pStyle w:val="3"/>
        <w:keepNext w:val="0"/>
        <w:keepLines w:val="0"/>
        <w:overflowPunct w:val="0"/>
        <w:autoSpaceDE w:val="0"/>
        <w:autoSpaceDN w:val="0"/>
        <w:ind w:firstLine="473"/>
        <w:outlineLvl w:val="1"/>
        <w:rPr>
          <w:rFonts w:hint="eastAsia" w:ascii="Times New Roman" w:hAnsi="Times New Roman"/>
          <w:highlight w:val="none"/>
        </w:rPr>
      </w:pPr>
      <w:bookmarkStart w:id="13" w:name="_Toc28715"/>
      <w:r>
        <w:rPr>
          <w:rFonts w:hint="eastAsia" w:ascii="Times New Roman" w:hAnsi="Times New Roman"/>
          <w:highlight w:val="none"/>
        </w:rPr>
        <w:t>（二）绩效评价工作开展情况</w:t>
      </w:r>
      <w:bookmarkEnd w:id="13"/>
    </w:p>
    <w:p w14:paraId="01E928CE">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1.评价目的、对象和范围</w:t>
      </w:r>
    </w:p>
    <w:p w14:paraId="68CF05EE">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（1）评价目的</w:t>
      </w:r>
    </w:p>
    <w:p w14:paraId="692363E9">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通过对部门整体支出开展重点绩效评价，了解部门整体预算支出执行情况，评价其产出情况及相应的效果，查找单位在预算资金管理使用过程中存在的问题及纰漏，对预算单位的财政资金管理、部门绩效提升提出可行性建议，为政府投入提供依据，促使财政资金发挥最大效益。</w:t>
      </w:r>
    </w:p>
    <w:p w14:paraId="0DBCDA6F">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（2）评价对象和范围</w:t>
      </w:r>
    </w:p>
    <w:p w14:paraId="2114804F">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本次绩效评价对象为</w:t>
      </w:r>
      <w:r>
        <w:rPr>
          <w:rFonts w:hint="eastAsia" w:ascii="Times New Roman" w:hAnsi="Times New Roman"/>
          <w:highlight w:val="none"/>
          <w:lang w:val="en-US" w:eastAsia="zh-CN"/>
        </w:rPr>
        <w:t>区卫健局</w:t>
      </w:r>
      <w:r>
        <w:rPr>
          <w:rFonts w:hint="eastAsia" w:ascii="Times New Roman" w:hAnsi="Times New Roman"/>
          <w:highlight w:val="none"/>
          <w:lang w:val="en-US"/>
        </w:rPr>
        <w:t>2024年度部门整体支出，预算资金合计</w:t>
      </w:r>
      <w:r>
        <w:rPr>
          <w:rFonts w:hint="eastAsia" w:ascii="Times New Roman" w:hAnsi="Times New Roman"/>
          <w:highlight w:val="none"/>
          <w:lang w:val="en-US" w:eastAsia="zh-CN"/>
        </w:rPr>
        <w:t>180.77</w:t>
      </w:r>
      <w:r>
        <w:rPr>
          <w:rFonts w:hint="eastAsia" w:ascii="Times New Roman" w:hAnsi="Times New Roman"/>
          <w:highlight w:val="none"/>
          <w:lang w:val="en-US"/>
        </w:rPr>
        <w:t>万元。</w:t>
      </w:r>
    </w:p>
    <w:p w14:paraId="2A8B2214">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bookmarkStart w:id="14" w:name="_Toc1599"/>
      <w:bookmarkStart w:id="15" w:name="_Toc24374"/>
      <w:r>
        <w:rPr>
          <w:rFonts w:hint="eastAsia" w:ascii="楷体" w:hAnsi="楷体" w:eastAsia="楷体" w:cs="楷体"/>
          <w:b w:val="0"/>
          <w:bCs w:val="0"/>
          <w:kern w:val="0"/>
          <w:sz w:val="32"/>
          <w:szCs w:val="32"/>
          <w:highlight w:val="none"/>
          <w:lang w:val="en-US" w:eastAsia="zh-CN" w:bidi="ar-SA"/>
        </w:rPr>
        <w:t>2.证据收集情况、评价方法、时间安排</w:t>
      </w:r>
      <w:bookmarkEnd w:id="14"/>
      <w:bookmarkEnd w:id="15"/>
    </w:p>
    <w:p w14:paraId="36A728C4">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（1）证据收集情况</w:t>
      </w:r>
    </w:p>
    <w:p w14:paraId="45D3B654">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评价机构对该部门进行现场评价，调取单位相关管理制度，工作总结，财务核算的明细账、决算报表等与绩效评价相关的其他资料等。</w:t>
      </w:r>
    </w:p>
    <w:p w14:paraId="66068729">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（2）评价方法</w:t>
      </w:r>
    </w:p>
    <w:p w14:paraId="237C1726">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财政支出绩效评价的方法主要包括成本效果分析法、比较法、因素分析法、最低成本法、公众评判法、标杆管理法等。根据评价对象的具体情况，可采用一种或多种方法。</w:t>
      </w:r>
    </w:p>
    <w:p w14:paraId="6A90CBD1">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成本效果分析法，是指将投入与产出、效果进行关联性分析的方法。</w:t>
      </w:r>
    </w:p>
    <w:p w14:paraId="4FE807E9">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比较法，是指将实施情况与绩效目标、历史情况、不同部门和地区同类支出情况进行比较的方法。</w:t>
      </w:r>
    </w:p>
    <w:p w14:paraId="13846092">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因素分析法，是指综合分析影响绩效目标实现、实施效果的内外部因素的方法。</w:t>
      </w:r>
    </w:p>
    <w:p w14:paraId="58797C3B">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最低成本法，是指在绩效目标确定的前提下，成本最小者为优的方法。</w:t>
      </w:r>
    </w:p>
    <w:p w14:paraId="479FD04E">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公众评判法，是指通过专家评估、公众问卷及抽样调查等方式进行评判的方法。</w:t>
      </w:r>
    </w:p>
    <w:p w14:paraId="59071740">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标杆管理法，是指以国内外同行业中较高的绩效水平为标杆进行评判的方法。</w:t>
      </w:r>
    </w:p>
    <w:p w14:paraId="0013E711">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基于本评价项目的服务性、费用性的属性，本次评价主要采用了比较分析法进行评价。</w:t>
      </w:r>
    </w:p>
    <w:p w14:paraId="16943179">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（3）评价时间安排</w:t>
      </w:r>
    </w:p>
    <w:p w14:paraId="4E3AAE92">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绩效评价工作分为：接受委托与前期准备、指标体系设计与工作底稿设计、现场调查与资料收集整理、分析评价与形成报告、提交报告等阶段。各阶段的工作简述如下：</w:t>
      </w:r>
    </w:p>
    <w:p w14:paraId="3C4806B4">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2025年</w:t>
      </w:r>
      <w:r>
        <w:rPr>
          <w:rFonts w:hint="eastAsia" w:ascii="Times New Roman" w:hAnsi="Times New Roman"/>
          <w:highlight w:val="none"/>
          <w:lang w:val="en-US" w:eastAsia="zh-CN"/>
        </w:rPr>
        <w:t>7</w:t>
      </w:r>
      <w:r>
        <w:rPr>
          <w:rFonts w:hint="eastAsia" w:ascii="Times New Roman" w:hAnsi="Times New Roman"/>
          <w:highlight w:val="none"/>
          <w:lang w:val="en-US"/>
        </w:rPr>
        <w:t>月1日至</w:t>
      </w:r>
      <w:r>
        <w:rPr>
          <w:rFonts w:hint="eastAsia" w:ascii="Times New Roman" w:hAnsi="Times New Roman"/>
          <w:highlight w:val="none"/>
          <w:lang w:val="en-US" w:eastAsia="zh-CN"/>
        </w:rPr>
        <w:t>8</w:t>
      </w:r>
      <w:r>
        <w:rPr>
          <w:rFonts w:hint="eastAsia" w:ascii="Times New Roman" w:hAnsi="Times New Roman"/>
          <w:highlight w:val="none"/>
          <w:lang w:val="en-US"/>
        </w:rPr>
        <w:t>日，与委托方沟通，明确评价目的、评价时间、评价对象与范围等；收集部门规章制度、自评报告等资料；明确绩效评价工作步骤、相关操作要求和重点关注事项，在此基础上制定绩效评价工作方案。</w:t>
      </w:r>
    </w:p>
    <w:p w14:paraId="3235EBBA">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2025年</w:t>
      </w:r>
      <w:r>
        <w:rPr>
          <w:rFonts w:hint="eastAsia" w:ascii="Times New Roman" w:hAnsi="Times New Roman"/>
          <w:highlight w:val="none"/>
          <w:lang w:val="en-US" w:eastAsia="zh-CN"/>
        </w:rPr>
        <w:t>7</w:t>
      </w:r>
      <w:r>
        <w:rPr>
          <w:rFonts w:hint="eastAsia" w:ascii="Times New Roman" w:hAnsi="Times New Roman"/>
          <w:highlight w:val="none"/>
          <w:lang w:val="en-US"/>
        </w:rPr>
        <w:t>月</w:t>
      </w:r>
      <w:r>
        <w:rPr>
          <w:rFonts w:hint="eastAsia" w:ascii="Times New Roman" w:hAnsi="Times New Roman"/>
          <w:highlight w:val="none"/>
          <w:lang w:val="en-US" w:eastAsia="zh-CN"/>
        </w:rPr>
        <w:t>9</w:t>
      </w:r>
      <w:r>
        <w:rPr>
          <w:rFonts w:hint="eastAsia" w:ascii="Times New Roman" w:hAnsi="Times New Roman"/>
          <w:highlight w:val="none"/>
          <w:lang w:val="en-US"/>
        </w:rPr>
        <w:t>日至</w:t>
      </w:r>
      <w:r>
        <w:rPr>
          <w:rFonts w:hint="eastAsia" w:ascii="Times New Roman" w:hAnsi="Times New Roman"/>
          <w:highlight w:val="none"/>
          <w:lang w:val="en-US" w:eastAsia="zh-CN"/>
        </w:rPr>
        <w:t>7</w:t>
      </w:r>
      <w:r>
        <w:rPr>
          <w:rFonts w:hint="eastAsia" w:ascii="Times New Roman" w:hAnsi="Times New Roman"/>
          <w:highlight w:val="none"/>
          <w:lang w:val="en-US"/>
        </w:rPr>
        <w:t>月</w:t>
      </w:r>
      <w:r>
        <w:rPr>
          <w:rFonts w:hint="eastAsia" w:ascii="Times New Roman" w:hAnsi="Times New Roman"/>
          <w:highlight w:val="none"/>
          <w:lang w:val="en-US" w:eastAsia="zh-CN"/>
        </w:rPr>
        <w:t>31</w:t>
      </w:r>
      <w:r>
        <w:rPr>
          <w:rFonts w:hint="eastAsia" w:ascii="Times New Roman" w:hAnsi="Times New Roman"/>
          <w:highlight w:val="none"/>
          <w:lang w:val="en-US"/>
        </w:rPr>
        <w:t>日，评价人员围绕部门整体支出资金主线，设计初步评价体系，并与委托人、项目管理单位进行沟通、修订指标体系。根据修订后的指标体系设计资料清单、访谈提纲、调查问卷等底稿。</w:t>
      </w:r>
    </w:p>
    <w:p w14:paraId="59A10B39">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2025年</w:t>
      </w:r>
      <w:r>
        <w:rPr>
          <w:rFonts w:hint="eastAsia" w:ascii="Times New Roman" w:hAnsi="Times New Roman"/>
          <w:highlight w:val="none"/>
          <w:lang w:val="en-US" w:eastAsia="zh-CN"/>
        </w:rPr>
        <w:t>8</w:t>
      </w:r>
      <w:r>
        <w:rPr>
          <w:rFonts w:hint="eastAsia" w:ascii="Times New Roman" w:hAnsi="Times New Roman"/>
          <w:highlight w:val="none"/>
          <w:lang w:val="en-US"/>
        </w:rPr>
        <w:t>月1日至2025年</w:t>
      </w:r>
      <w:r>
        <w:rPr>
          <w:rFonts w:hint="eastAsia" w:ascii="Times New Roman" w:hAnsi="Times New Roman"/>
          <w:highlight w:val="none"/>
          <w:lang w:val="en-US" w:eastAsia="zh-CN"/>
        </w:rPr>
        <w:t>8</w:t>
      </w:r>
      <w:r>
        <w:rPr>
          <w:rFonts w:hint="eastAsia" w:ascii="Times New Roman" w:hAnsi="Times New Roman"/>
          <w:highlight w:val="none"/>
          <w:lang w:val="en-US"/>
        </w:rPr>
        <w:t>月</w:t>
      </w:r>
      <w:r>
        <w:rPr>
          <w:rFonts w:hint="eastAsia" w:ascii="Times New Roman" w:hAnsi="Times New Roman"/>
          <w:highlight w:val="none"/>
          <w:lang w:val="en-US" w:eastAsia="zh-CN"/>
        </w:rPr>
        <w:t>20</w:t>
      </w:r>
      <w:r>
        <w:rPr>
          <w:rFonts w:hint="eastAsia" w:ascii="Times New Roman" w:hAnsi="Times New Roman"/>
          <w:highlight w:val="none"/>
          <w:lang w:val="en-US"/>
        </w:rPr>
        <w:t>日，评价人员首先对所收集的资料进行分析整理，然后根据评分标准进行评价，再按相关规范撰写评价报告初稿，送委托人与被评价单位征求意见。</w:t>
      </w:r>
    </w:p>
    <w:p w14:paraId="12385C95">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2025年</w:t>
      </w:r>
      <w:r>
        <w:rPr>
          <w:rFonts w:hint="eastAsia" w:ascii="Times New Roman" w:hAnsi="Times New Roman"/>
          <w:highlight w:val="none"/>
          <w:lang w:val="en-US" w:eastAsia="zh-CN"/>
        </w:rPr>
        <w:t>8</w:t>
      </w:r>
      <w:r>
        <w:rPr>
          <w:rFonts w:hint="eastAsia" w:ascii="Times New Roman" w:hAnsi="Times New Roman"/>
          <w:highlight w:val="none"/>
          <w:lang w:val="en-US"/>
        </w:rPr>
        <w:t>月</w:t>
      </w:r>
      <w:r>
        <w:rPr>
          <w:rFonts w:hint="eastAsia" w:ascii="Times New Roman" w:hAnsi="Times New Roman"/>
          <w:highlight w:val="none"/>
          <w:lang w:val="en-US" w:eastAsia="zh-CN"/>
        </w:rPr>
        <w:t>21</w:t>
      </w:r>
      <w:r>
        <w:rPr>
          <w:rFonts w:hint="eastAsia" w:ascii="Times New Roman" w:hAnsi="Times New Roman"/>
          <w:highlight w:val="none"/>
          <w:lang w:val="en-US"/>
        </w:rPr>
        <w:t>日至2025年</w:t>
      </w:r>
      <w:r>
        <w:rPr>
          <w:rFonts w:hint="eastAsia" w:ascii="Times New Roman" w:hAnsi="Times New Roman"/>
          <w:highlight w:val="none"/>
          <w:lang w:val="en-US" w:eastAsia="zh-CN"/>
        </w:rPr>
        <w:t>8</w:t>
      </w:r>
      <w:r>
        <w:rPr>
          <w:rFonts w:hint="eastAsia" w:ascii="Times New Roman" w:hAnsi="Times New Roman"/>
          <w:highlight w:val="none"/>
          <w:lang w:val="en-US"/>
        </w:rPr>
        <w:t>月</w:t>
      </w:r>
      <w:r>
        <w:rPr>
          <w:rFonts w:hint="eastAsia" w:ascii="Times New Roman" w:hAnsi="Times New Roman"/>
          <w:highlight w:val="none"/>
          <w:lang w:val="en-US" w:eastAsia="zh-CN"/>
        </w:rPr>
        <w:t>30</w:t>
      </w:r>
      <w:r>
        <w:rPr>
          <w:rFonts w:hint="eastAsia" w:ascii="Times New Roman" w:hAnsi="Times New Roman"/>
          <w:highlight w:val="none"/>
          <w:lang w:val="en-US"/>
        </w:rPr>
        <w:t>日，评价人员根据委托人与被评价单位的反馈意见修订评价报告，经过公司内部三级复核、公司盖章、主评人签字后提交委托人。</w:t>
      </w:r>
    </w:p>
    <w:p w14:paraId="17446F90">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3.评价体系和综合评分方法</w:t>
      </w:r>
    </w:p>
    <w:p w14:paraId="377899F7">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（1）绩效评价指标的设定</w:t>
      </w:r>
    </w:p>
    <w:p w14:paraId="28B76A7B">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根据《湖北省省直部门整体绩效管理暂行办法》，设计了运行成本、管理效率、履职效能、社会效益、可持续发展能力和服务对象满意度6个一级指标；公用经费控制、在职人员控制、项目支出成本控制等2</w:t>
      </w:r>
      <w:r>
        <w:rPr>
          <w:rFonts w:hint="eastAsia" w:ascii="Times New Roman" w:hAnsi="Times New Roman"/>
          <w:highlight w:val="none"/>
          <w:lang w:val="en-US" w:eastAsia="zh-CN"/>
        </w:rPr>
        <w:t>6</w:t>
      </w:r>
      <w:r>
        <w:rPr>
          <w:rFonts w:hint="eastAsia" w:ascii="Times New Roman" w:hAnsi="Times New Roman"/>
          <w:highlight w:val="none"/>
          <w:lang w:val="en-US"/>
        </w:rPr>
        <w:t>个二级指标；公用经费控制率、在职人员控制率等6</w:t>
      </w:r>
      <w:r>
        <w:rPr>
          <w:rFonts w:hint="eastAsia" w:ascii="Times New Roman" w:hAnsi="Times New Roman"/>
          <w:highlight w:val="none"/>
          <w:lang w:val="en-US" w:eastAsia="zh-CN"/>
        </w:rPr>
        <w:t>3</w:t>
      </w:r>
      <w:r>
        <w:rPr>
          <w:rFonts w:hint="eastAsia" w:ascii="Times New Roman" w:hAnsi="Times New Roman"/>
          <w:highlight w:val="none"/>
          <w:lang w:val="en-US"/>
        </w:rPr>
        <w:t>个三级指标。具体情况详见附件《2024年</w:t>
      </w:r>
      <w:r>
        <w:rPr>
          <w:rFonts w:hint="eastAsia" w:ascii="Times New Roman" w:hAnsi="Times New Roman"/>
          <w:highlight w:val="none"/>
          <w:lang w:val="en-US" w:eastAsia="zh-CN"/>
        </w:rPr>
        <w:t>黄石市下陆区卫生健康局</w:t>
      </w:r>
      <w:r>
        <w:rPr>
          <w:rFonts w:hint="eastAsia" w:ascii="Times New Roman" w:hAnsi="Times New Roman"/>
          <w:highlight w:val="none"/>
          <w:lang w:val="en-US"/>
        </w:rPr>
        <w:t>部门整体支出绩效评价指标体系》。</w:t>
      </w:r>
    </w:p>
    <w:p w14:paraId="1F7CAAAE">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（2）绩效评价指标权重的设定</w:t>
      </w:r>
    </w:p>
    <w:p w14:paraId="0CAC9F52">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根据湖北省《第三方机构参与预算绩效管理报告编制规范》，财政评价体系应当突出结果导向，原则上产出、效果指标权重不低于60%的要求。评价人员结合部门整体支出资金的特点，采用了层次分析法，逐项对每个层次的指标按照重要性依次确定权重值。</w:t>
      </w:r>
    </w:p>
    <w:p w14:paraId="5568B28D">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（3）评价标准</w:t>
      </w:r>
    </w:p>
    <w:p w14:paraId="2C96BA0B">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绩效评价标准的分类，绩效评价标准通常包括计划标准、行业标准、历史标准等，用于对绩效指标完成情况进行比较。</w:t>
      </w:r>
    </w:p>
    <w:p w14:paraId="2D6C0446">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计划标准，指以预先制定的目标、计划、预算、定额等作为评价标准。</w:t>
      </w:r>
    </w:p>
    <w:p w14:paraId="23ECC7D3">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行业标准，指参照国家公布的行业指标数据制定的评价标准。</w:t>
      </w:r>
    </w:p>
    <w:p w14:paraId="4DBAADB0">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历史标准，指参照历史数据制定的评价标准，为体现绩效改进的原则，在可实现的条件下应当确定相对较高的评价标准。</w:t>
      </w:r>
    </w:p>
    <w:p w14:paraId="0DA61015">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财政部门和预算部门确认或认可的其他标准。</w:t>
      </w:r>
    </w:p>
    <w:p w14:paraId="36C3B29F">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本次评价以历史标准、计划标准为主，经验标准为辅助的原则，确定比较标准基准值。</w:t>
      </w:r>
    </w:p>
    <w:p w14:paraId="0CA8520F">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（4）绩效评价标准等级界定标准</w:t>
      </w:r>
    </w:p>
    <w:p w14:paraId="3060CA30">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根据湖北省《第三方机构参与预算绩效管理报告编制规范》，绩效评价结果采取评分和评级相结合的方式，具体分值和等级根据不同评价内容设定。总分一般设置为100分，等级一般划分为四档：90（含）-100分为优、80（含）-90分为良、60（含）-80分为中、60分以下为差。</w:t>
      </w:r>
    </w:p>
    <w:p w14:paraId="0C396AE2">
      <w:pPr>
        <w:pStyle w:val="8"/>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（5）综合评分方法</w:t>
      </w:r>
    </w:p>
    <w:p w14:paraId="11C6129B">
      <w:pPr>
        <w:pStyle w:val="8"/>
        <w:overflowPunct w:val="0"/>
        <w:autoSpaceDE w:val="0"/>
        <w:autoSpaceDN w:val="0"/>
        <w:spacing w:line="560" w:lineRule="exact"/>
        <w:ind w:firstLine="630"/>
        <w:jc w:val="both"/>
        <w:rPr>
          <w:rFonts w:hint="eastAsia" w:ascii="Times New Roman" w:hAnsi="Times New Roman"/>
          <w:highlight w:val="none"/>
          <w:lang w:val="en-US"/>
        </w:rPr>
      </w:pPr>
      <w:r>
        <w:rPr>
          <w:rFonts w:hint="eastAsia" w:ascii="Times New Roman" w:hAnsi="Times New Roman"/>
          <w:highlight w:val="none"/>
          <w:lang w:val="en-US"/>
        </w:rPr>
        <w:t>采用定量与定性评价相结合的比较法，总分由各项指标得分汇总形成。</w:t>
      </w:r>
    </w:p>
    <w:p w14:paraId="76C4881E">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Times New Roman" w:hAnsi="Times New Roman"/>
          <w:highlight w:val="none"/>
          <w:lang w:val="en-US"/>
        </w:rPr>
        <w:t>定量指标得分按照以下方法评定：与年初指标值或2024年度实际完成指标值相比，完成指标值的，即该指标所赋全部分值；</w:t>
      </w:r>
      <w:r>
        <w:rPr>
          <w:rFonts w:hint="eastAsia" w:ascii="仿宋" w:hAnsi="仿宋" w:eastAsia="仿宋" w:cs="仿宋"/>
          <w:highlight w:val="none"/>
          <w:lang w:val="en-US" w:eastAsia="zh-CN"/>
        </w:rPr>
        <w:t>对完成值高于指标值较多的，要分析原因，如果是由于年初指标值设定明显偏低造成的，要按照偏离度适度调减分值；未完成指标值的，按照完成值与指标值的比例</w:t>
      </w:r>
      <w:r>
        <w:rPr>
          <w:rFonts w:hint="eastAsia" w:cs="仿宋"/>
          <w:highlight w:val="none"/>
          <w:lang w:val="en-US" w:eastAsia="zh-CN"/>
        </w:rPr>
        <w:t>计分</w:t>
      </w:r>
      <w:r>
        <w:rPr>
          <w:rFonts w:hint="eastAsia" w:ascii="仿宋" w:hAnsi="仿宋" w:eastAsia="仿宋" w:cs="仿宋"/>
          <w:highlight w:val="none"/>
          <w:lang w:val="en-US" w:eastAsia="zh-CN"/>
        </w:rPr>
        <w:t>。</w:t>
      </w:r>
    </w:p>
    <w:p w14:paraId="6CA6CF7F">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定性指标得分按照以下方法评定：根据指标完成情况分为达成年度指标、部分达成年度指标并具有一定效果、未达成年度指标且效果较差三档，分别按照该指标对应分值区间100%</w:t>
      </w:r>
      <w:r>
        <w:rPr>
          <w:rFonts w:hint="eastAsia" w:cs="仿宋"/>
          <w:highlight w:val="none"/>
          <w:lang w:val="en-US" w:eastAsia="zh-CN"/>
        </w:rPr>
        <w:t>～</w:t>
      </w:r>
      <w:r>
        <w:rPr>
          <w:rFonts w:hint="eastAsia" w:ascii="仿宋" w:hAnsi="仿宋" w:eastAsia="仿宋" w:cs="仿宋"/>
          <w:highlight w:val="none"/>
          <w:lang w:val="en-US" w:eastAsia="zh-CN"/>
        </w:rPr>
        <w:t>90%（含）、90%</w:t>
      </w:r>
      <w:r>
        <w:rPr>
          <w:rFonts w:hint="eastAsia" w:cs="仿宋"/>
          <w:highlight w:val="none"/>
          <w:lang w:val="en-US" w:eastAsia="zh-CN"/>
        </w:rPr>
        <w:t>～</w:t>
      </w:r>
      <w:r>
        <w:rPr>
          <w:rFonts w:hint="eastAsia" w:ascii="仿宋" w:hAnsi="仿宋" w:eastAsia="仿宋" w:cs="仿宋"/>
          <w:highlight w:val="none"/>
          <w:lang w:val="en-US" w:eastAsia="zh-CN"/>
        </w:rPr>
        <w:t>60%（含）、60%</w:t>
      </w:r>
      <w:r>
        <w:rPr>
          <w:rFonts w:hint="eastAsia" w:cs="仿宋"/>
          <w:highlight w:val="none"/>
          <w:lang w:val="en-US" w:eastAsia="zh-CN"/>
        </w:rPr>
        <w:t>～</w:t>
      </w:r>
      <w:r>
        <w:rPr>
          <w:rFonts w:hint="eastAsia" w:ascii="仿宋" w:hAnsi="仿宋" w:eastAsia="仿宋" w:cs="仿宋"/>
          <w:highlight w:val="none"/>
          <w:lang w:val="en-US" w:eastAsia="zh-CN"/>
        </w:rPr>
        <w:t>0%合理确定分值。</w:t>
      </w:r>
    </w:p>
    <w:p w14:paraId="56732ADB">
      <w:pPr>
        <w:pStyle w:val="3"/>
        <w:keepNext w:val="0"/>
        <w:keepLines w:val="0"/>
        <w:overflowPunct w:val="0"/>
        <w:autoSpaceDE w:val="0"/>
        <w:autoSpaceDN w:val="0"/>
        <w:ind w:firstLine="473"/>
        <w:outlineLvl w:val="1"/>
        <w:rPr>
          <w:rFonts w:hint="eastAsia" w:ascii="Times New Roman" w:hAnsi="Times New Roman"/>
          <w:highlight w:val="none"/>
        </w:rPr>
      </w:pPr>
      <w:bookmarkStart w:id="16" w:name="_Toc13548"/>
      <w:r>
        <w:rPr>
          <w:rFonts w:hint="eastAsia" w:ascii="Times New Roman" w:hAnsi="Times New Roman"/>
          <w:highlight w:val="none"/>
        </w:rPr>
        <w:t>（三）绩效评价指标完成情况分析</w:t>
      </w:r>
      <w:bookmarkEnd w:id="16"/>
      <w:bookmarkStart w:id="17" w:name="_Toc47455088"/>
    </w:p>
    <w:bookmarkEnd w:id="17"/>
    <w:p w14:paraId="2DB95F4B">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bookmarkStart w:id="18" w:name="_Toc47455089"/>
      <w:r>
        <w:rPr>
          <w:rFonts w:hint="eastAsia" w:ascii="楷体" w:hAnsi="楷体" w:eastAsia="楷体" w:cs="楷体"/>
          <w:b w:val="0"/>
          <w:bCs w:val="0"/>
          <w:kern w:val="0"/>
          <w:sz w:val="32"/>
          <w:szCs w:val="32"/>
          <w:highlight w:val="none"/>
          <w:lang w:val="en-US" w:eastAsia="zh-CN" w:bidi="ar-SA"/>
        </w:rPr>
        <w:t>1.运行成本分析</w:t>
      </w:r>
    </w:p>
    <w:p w14:paraId="42AC31DF">
      <w:pPr>
        <w:pStyle w:val="8"/>
        <w:overflowPunct w:val="0"/>
        <w:autoSpaceDE w:val="0"/>
        <w:autoSpaceDN w:val="0"/>
        <w:spacing w:line="560" w:lineRule="exact"/>
        <w:ind w:firstLine="630"/>
        <w:jc w:val="both"/>
        <w:rPr>
          <w:rFonts w:hint="eastAsia" w:ascii="仿宋" w:hAnsi="仿宋" w:eastAsia="仿宋" w:cs="仿宋"/>
          <w:kern w:val="2"/>
          <w:sz w:val="32"/>
          <w:szCs w:val="32"/>
          <w:highlight w:val="none"/>
          <w:lang w:val="en-US" w:eastAsia="zh-CN" w:bidi="zh-CN"/>
        </w:rPr>
      </w:pPr>
      <w:r>
        <w:rPr>
          <w:rFonts w:hint="eastAsia" w:ascii="仿宋" w:hAnsi="仿宋" w:eastAsia="仿宋" w:cs="仿宋"/>
          <w:kern w:val="2"/>
          <w:sz w:val="32"/>
          <w:szCs w:val="32"/>
          <w:highlight w:val="none"/>
          <w:lang w:val="en-US" w:eastAsia="zh-CN" w:bidi="zh-CN"/>
        </w:rPr>
        <w:t>评价人员从公用经费控制、在职人员控制、项目支出成本控制三个方面对运行成本情况进行了考评，运行成本指标</w:t>
      </w:r>
      <w:r>
        <w:rPr>
          <w:rFonts w:hint="eastAsia" w:ascii="仿宋" w:hAnsi="仿宋" w:eastAsia="仿宋" w:cs="仿宋"/>
          <w:bCs/>
          <w:kern w:val="0"/>
          <w:szCs w:val="32"/>
          <w:highlight w:val="none"/>
          <w:lang w:val="en-US" w:eastAsia="zh-CN"/>
        </w:rPr>
        <w:t>总分8分，实际得分4.57分，</w:t>
      </w:r>
      <w:r>
        <w:rPr>
          <w:rFonts w:hint="eastAsia" w:ascii="仿宋" w:hAnsi="仿宋" w:eastAsia="仿宋" w:cs="仿宋"/>
          <w:kern w:val="2"/>
          <w:sz w:val="32"/>
          <w:szCs w:val="32"/>
          <w:highlight w:val="none"/>
          <w:lang w:val="en-US" w:eastAsia="zh-CN" w:bidi="zh-CN"/>
        </w:rPr>
        <w:t>具体如下：</w:t>
      </w:r>
    </w:p>
    <w:p w14:paraId="1C96472E">
      <w:pPr>
        <w:pStyle w:val="8"/>
        <w:overflowPunct w:val="0"/>
        <w:autoSpaceDE w:val="0"/>
        <w:autoSpaceDN w:val="0"/>
        <w:spacing w:line="560" w:lineRule="exact"/>
        <w:ind w:firstLine="474" w:firstLineChars="15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（1）公用经费控制</w:t>
      </w:r>
    </w:p>
    <w:p w14:paraId="0B030D23">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公用经费控制率权重2分，</w:t>
      </w:r>
      <w:r>
        <w:rPr>
          <w:rFonts w:hint="eastAsia" w:cs="仿宋"/>
          <w:highlight w:val="none"/>
          <w:lang w:val="en-US" w:eastAsia="zh-CN"/>
        </w:rPr>
        <w:t>不得分</w:t>
      </w:r>
      <w:r>
        <w:rPr>
          <w:rFonts w:hint="eastAsia" w:ascii="仿宋" w:hAnsi="仿宋" w:eastAsia="仿宋" w:cs="仿宋"/>
          <w:highlight w:val="none"/>
          <w:lang w:val="en-US" w:eastAsia="zh-CN"/>
        </w:rPr>
        <w:t>。</w:t>
      </w:r>
    </w:p>
    <w:p w14:paraId="29B6AB12">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w:t>
      </w:r>
      <w:r>
        <w:rPr>
          <w:rFonts w:hint="eastAsia" w:cs="仿宋"/>
          <w:highlight w:val="none"/>
          <w:lang w:val="en-US" w:eastAsia="zh-CN"/>
        </w:rPr>
        <w:t>卫健局</w:t>
      </w:r>
      <w:r>
        <w:rPr>
          <w:rFonts w:hint="eastAsia" w:ascii="仿宋" w:hAnsi="仿宋" w:eastAsia="仿宋" w:cs="仿宋"/>
          <w:highlight w:val="none"/>
          <w:lang w:val="en-US" w:eastAsia="zh-CN"/>
        </w:rPr>
        <w:t>2024年度决算报表，2024年实际支出公用经费总额173,502.92元，预算安排公用经费总额326,262.99元，公用经费控制188.04%，按评价要求，该指标不得分。</w:t>
      </w:r>
    </w:p>
    <w:p w14:paraId="35C37260">
      <w:pPr>
        <w:pStyle w:val="8"/>
        <w:overflowPunct w:val="0"/>
        <w:autoSpaceDE w:val="0"/>
        <w:autoSpaceDN w:val="0"/>
        <w:spacing w:line="560" w:lineRule="exact"/>
        <w:ind w:firstLine="474" w:firstLineChars="15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（2）在职人员控制</w:t>
      </w:r>
    </w:p>
    <w:p w14:paraId="54D997CE">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在职人员控制率权重2分，得0.57分，扣1.43分。</w:t>
      </w:r>
    </w:p>
    <w:p w14:paraId="3B00CAA5">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w:t>
      </w:r>
      <w:r>
        <w:rPr>
          <w:rFonts w:hint="eastAsia" w:cs="仿宋"/>
          <w:highlight w:val="none"/>
          <w:lang w:val="en-US" w:eastAsia="zh-CN"/>
        </w:rPr>
        <w:t>卫健局</w:t>
      </w:r>
      <w:r>
        <w:rPr>
          <w:rFonts w:hint="eastAsia" w:ascii="仿宋" w:hAnsi="仿宋" w:eastAsia="仿宋" w:cs="仿宋"/>
          <w:highlight w:val="none"/>
          <w:lang w:val="en-US" w:eastAsia="zh-CN"/>
        </w:rPr>
        <w:t>核定编制数为7名，其中行政编3名，事业编制3名，其他编制1人</w:t>
      </w:r>
      <w:r>
        <w:rPr>
          <w:rFonts w:hint="eastAsia" w:cs="仿宋"/>
          <w:highlight w:val="none"/>
          <w:lang w:val="en-US" w:eastAsia="zh-CN"/>
        </w:rPr>
        <w:t>。</w:t>
      </w:r>
      <w:r>
        <w:rPr>
          <w:rFonts w:hint="eastAsia" w:ascii="仿宋" w:hAnsi="仿宋" w:eastAsia="仿宋" w:cs="仿宋"/>
          <w:highlight w:val="none"/>
          <w:lang w:val="en-US" w:eastAsia="zh-CN"/>
        </w:rPr>
        <w:t>根据区</w:t>
      </w:r>
      <w:r>
        <w:rPr>
          <w:rFonts w:hint="eastAsia" w:cs="仿宋"/>
          <w:highlight w:val="none"/>
          <w:lang w:val="en-US" w:eastAsia="zh-CN"/>
        </w:rPr>
        <w:t>卫健</w:t>
      </w:r>
      <w:r>
        <w:rPr>
          <w:rFonts w:hint="eastAsia" w:ascii="仿宋" w:hAnsi="仿宋" w:eastAsia="仿宋" w:cs="仿宋"/>
          <w:highlight w:val="none"/>
          <w:lang w:val="en-US" w:eastAsia="zh-CN"/>
        </w:rPr>
        <w:t>局2024年度决算报表，2024年12月31日在职人员8人，在职人员控制率114.29%，按评价要求，</w:t>
      </w:r>
      <w:r>
        <w:rPr>
          <w:rFonts w:hint="eastAsia" w:cs="仿宋"/>
          <w:highlight w:val="none"/>
          <w:lang w:val="en-US" w:eastAsia="zh-CN"/>
        </w:rPr>
        <w:t>若</w:t>
      </w:r>
      <w:r>
        <w:rPr>
          <w:rFonts w:hint="eastAsia" w:ascii="仿宋" w:hAnsi="仿宋" w:eastAsia="仿宋" w:cs="仿宋"/>
          <w:highlight w:val="none"/>
          <w:lang w:val="en-US" w:eastAsia="zh-CN"/>
        </w:rPr>
        <w:t>在职人员控制率＞100%，每增加1%，扣5%权重分，扣完为止，故该指标</w:t>
      </w:r>
      <w:r>
        <w:rPr>
          <w:rFonts w:hint="eastAsia" w:cs="仿宋"/>
          <w:highlight w:val="none"/>
          <w:lang w:val="en-US" w:eastAsia="zh-CN"/>
        </w:rPr>
        <w:t>扣1.43</w:t>
      </w:r>
      <w:r>
        <w:rPr>
          <w:rFonts w:hint="eastAsia" w:ascii="仿宋" w:hAnsi="仿宋" w:eastAsia="仿宋" w:cs="仿宋"/>
          <w:highlight w:val="none"/>
          <w:lang w:val="en-US" w:eastAsia="zh-CN"/>
        </w:rPr>
        <w:t>分。</w:t>
      </w:r>
    </w:p>
    <w:p w14:paraId="783F5E67">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（3）项目支出成本控制</w:t>
      </w:r>
    </w:p>
    <w:p w14:paraId="15C4623C">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①会议费控制率权重2分，得分2分，未扣分。</w:t>
      </w:r>
    </w:p>
    <w:p w14:paraId="35925182">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w:t>
      </w:r>
      <w:r>
        <w:rPr>
          <w:rFonts w:hint="eastAsia" w:cs="仿宋"/>
          <w:highlight w:val="none"/>
          <w:lang w:val="en-US" w:eastAsia="zh-CN"/>
        </w:rPr>
        <w:t>卫健局</w:t>
      </w:r>
      <w:r>
        <w:rPr>
          <w:rFonts w:hint="eastAsia" w:ascii="仿宋" w:hAnsi="仿宋" w:eastAsia="仿宋" w:cs="仿宋"/>
          <w:highlight w:val="none"/>
          <w:lang w:val="en-US" w:eastAsia="zh-CN"/>
        </w:rPr>
        <w:t>2024年度决算报表，该单位未核算会议费列支金额为0，故本指标不扣分。</w:t>
      </w:r>
    </w:p>
    <w:p w14:paraId="783FC5C1">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w:t>
      </w:r>
      <w:r>
        <w:rPr>
          <w:rFonts w:hint="eastAsia" w:cs="仿宋"/>
          <w:highlight w:val="none"/>
          <w:lang w:val="en-US" w:eastAsia="zh-CN"/>
        </w:rPr>
        <w:t>“三公”经费</w:t>
      </w:r>
      <w:r>
        <w:rPr>
          <w:rFonts w:hint="eastAsia" w:ascii="仿宋" w:hAnsi="仿宋" w:eastAsia="仿宋" w:cs="仿宋"/>
          <w:highlight w:val="none"/>
          <w:lang w:val="en-US" w:eastAsia="zh-CN"/>
        </w:rPr>
        <w:t>变动率权重2分，得分2分，未扣分。</w:t>
      </w:r>
    </w:p>
    <w:p w14:paraId="52B37A36">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w:t>
      </w:r>
      <w:r>
        <w:rPr>
          <w:rFonts w:hint="eastAsia" w:cs="仿宋"/>
          <w:highlight w:val="none"/>
          <w:lang w:val="en-US" w:eastAsia="zh-CN"/>
        </w:rPr>
        <w:t>卫健局</w:t>
      </w:r>
      <w:r>
        <w:rPr>
          <w:rFonts w:hint="eastAsia" w:ascii="仿宋" w:hAnsi="仿宋" w:eastAsia="仿宋" w:cs="仿宋"/>
          <w:highlight w:val="none"/>
          <w:lang w:val="en-US" w:eastAsia="zh-CN"/>
        </w:rPr>
        <w:t>2023年和2024年度决算报表，2023年度</w:t>
      </w:r>
      <w:r>
        <w:rPr>
          <w:rFonts w:hint="eastAsia" w:cs="仿宋"/>
          <w:highlight w:val="none"/>
          <w:lang w:val="en-US" w:eastAsia="zh-CN"/>
        </w:rPr>
        <w:t>“三公”经费</w:t>
      </w:r>
      <w:r>
        <w:rPr>
          <w:rFonts w:hint="eastAsia" w:ascii="仿宋" w:hAnsi="仿宋" w:eastAsia="仿宋" w:cs="仿宋"/>
          <w:highlight w:val="none"/>
          <w:lang w:val="en-US" w:eastAsia="zh-CN"/>
        </w:rPr>
        <w:t>支出2,698.00元</w:t>
      </w:r>
      <w:r>
        <w:rPr>
          <w:rFonts w:hint="eastAsia" w:cs="仿宋"/>
          <w:highlight w:val="none"/>
          <w:lang w:val="en-US" w:eastAsia="zh-CN"/>
        </w:rPr>
        <w:t>，</w:t>
      </w:r>
      <w:r>
        <w:rPr>
          <w:rFonts w:hint="eastAsia" w:ascii="仿宋" w:hAnsi="仿宋" w:eastAsia="仿宋" w:cs="仿宋"/>
          <w:highlight w:val="none"/>
          <w:lang w:val="en-US" w:eastAsia="zh-CN"/>
        </w:rPr>
        <w:t>2024年度</w:t>
      </w:r>
      <w:r>
        <w:rPr>
          <w:rFonts w:hint="eastAsia" w:cs="仿宋"/>
          <w:highlight w:val="none"/>
          <w:lang w:val="en-US" w:eastAsia="zh-CN"/>
        </w:rPr>
        <w:t>“三公”经费</w:t>
      </w:r>
      <w:r>
        <w:rPr>
          <w:rFonts w:hint="eastAsia" w:ascii="仿宋" w:hAnsi="仿宋" w:eastAsia="仿宋" w:cs="仿宋"/>
          <w:highlight w:val="none"/>
          <w:lang w:val="en-US" w:eastAsia="zh-CN"/>
        </w:rPr>
        <w:t>支出1,523.00元，同比减少43.55%，达到评价要求，该指标不扣分。</w:t>
      </w:r>
    </w:p>
    <w:p w14:paraId="3854BB1D">
      <w:pPr>
        <w:pStyle w:val="4"/>
        <w:spacing w:before="0" w:after="0" w:line="560" w:lineRule="exact"/>
        <w:ind w:firstLine="632" w:firstLineChars="200"/>
        <w:outlineLvl w:val="2"/>
        <w:rPr>
          <w:rFonts w:hint="default"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2.管理效率分析</w:t>
      </w:r>
      <w:bookmarkEnd w:id="18"/>
    </w:p>
    <w:p w14:paraId="259B135D">
      <w:pPr>
        <w:pStyle w:val="8"/>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评价人员从战略管理、预算编制、预算执行、绩效管理、资产管理、财务管理等六个方面进行了评价，</w:t>
      </w:r>
      <w:r>
        <w:rPr>
          <w:rFonts w:hint="eastAsia" w:ascii="仿宋" w:hAnsi="仿宋" w:eastAsia="仿宋" w:cs="仿宋"/>
          <w:kern w:val="2"/>
          <w:sz w:val="32"/>
          <w:szCs w:val="32"/>
          <w:highlight w:val="none"/>
          <w:lang w:val="en-US" w:eastAsia="zh-CN" w:bidi="zh-CN"/>
        </w:rPr>
        <w:t>管理效率</w:t>
      </w:r>
      <w:r>
        <w:rPr>
          <w:rFonts w:hint="eastAsia" w:cs="仿宋"/>
          <w:kern w:val="2"/>
          <w:sz w:val="32"/>
          <w:szCs w:val="32"/>
          <w:highlight w:val="none"/>
          <w:lang w:val="en-US" w:eastAsia="zh-CN" w:bidi="zh-CN"/>
        </w:rPr>
        <w:t>指标</w:t>
      </w:r>
      <w:r>
        <w:rPr>
          <w:rFonts w:hint="eastAsia" w:ascii="仿宋" w:hAnsi="仿宋" w:cs="Times New Roman"/>
          <w:bCs/>
          <w:kern w:val="0"/>
          <w:szCs w:val="32"/>
          <w:highlight w:val="none"/>
          <w:lang w:val="en-US" w:eastAsia="zh-CN"/>
        </w:rPr>
        <w:t>总分</w:t>
      </w:r>
      <w:r>
        <w:rPr>
          <w:rFonts w:hint="eastAsia" w:cs="Times New Roman"/>
          <w:bCs/>
          <w:kern w:val="0"/>
          <w:szCs w:val="32"/>
          <w:highlight w:val="none"/>
          <w:lang w:val="en-US" w:eastAsia="zh-CN"/>
        </w:rPr>
        <w:t>22</w:t>
      </w:r>
      <w:r>
        <w:rPr>
          <w:rFonts w:hint="eastAsia" w:ascii="仿宋" w:hAnsi="仿宋" w:cs="Times New Roman"/>
          <w:bCs/>
          <w:kern w:val="0"/>
          <w:szCs w:val="32"/>
          <w:highlight w:val="none"/>
          <w:lang w:val="en-US" w:eastAsia="zh-CN"/>
        </w:rPr>
        <w:t>分，实际得分</w:t>
      </w:r>
      <w:r>
        <w:rPr>
          <w:rFonts w:hint="eastAsia" w:cs="Times New Roman"/>
          <w:bCs/>
          <w:kern w:val="0"/>
          <w:szCs w:val="32"/>
          <w:highlight w:val="none"/>
          <w:lang w:val="en-US" w:eastAsia="zh-CN"/>
        </w:rPr>
        <w:t>16.21</w:t>
      </w:r>
      <w:r>
        <w:rPr>
          <w:rFonts w:hint="eastAsia" w:ascii="仿宋" w:hAnsi="仿宋" w:cs="Times New Roman"/>
          <w:bCs/>
          <w:kern w:val="0"/>
          <w:szCs w:val="32"/>
          <w:highlight w:val="none"/>
          <w:lang w:val="en-US" w:eastAsia="zh-CN"/>
        </w:rPr>
        <w:t>分</w:t>
      </w:r>
      <w:r>
        <w:rPr>
          <w:rFonts w:hint="eastAsia" w:cs="Times New Roman"/>
          <w:bCs/>
          <w:kern w:val="0"/>
          <w:szCs w:val="32"/>
          <w:highlight w:val="none"/>
          <w:lang w:val="en-US" w:eastAsia="zh-CN"/>
        </w:rPr>
        <w:t>，</w:t>
      </w:r>
      <w:r>
        <w:rPr>
          <w:rFonts w:hint="eastAsia" w:ascii="仿宋" w:hAnsi="仿宋" w:eastAsia="仿宋" w:cs="仿宋"/>
          <w:kern w:val="2"/>
          <w:sz w:val="32"/>
          <w:szCs w:val="32"/>
          <w:highlight w:val="none"/>
          <w:lang w:val="en-US" w:eastAsia="zh-CN" w:bidi="zh-CN"/>
        </w:rPr>
        <w:t>具体如下</w:t>
      </w:r>
      <w:r>
        <w:rPr>
          <w:rFonts w:hint="eastAsia" w:ascii="Times New Roman" w:hAnsi="Times New Roman"/>
          <w:highlight w:val="none"/>
          <w:lang w:val="en-US"/>
        </w:rPr>
        <w:t>：</w:t>
      </w:r>
    </w:p>
    <w:p w14:paraId="4942A9BB">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（1）战略管理分析</w:t>
      </w:r>
    </w:p>
    <w:p w14:paraId="1D7647B2">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①中长期规划相符性权重，得分1分，未扣分。</w:t>
      </w:r>
    </w:p>
    <w:p w14:paraId="5DA94C8E">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下陆区卫健局“十四五”规划与国家健康中国行动、省委省政府医改部署高度匹配，如推进紧密型医联体、“323”攻坚等契合国家战略；规划聚焦医疗体系建设、医改推进等任务，与卫健部门医疗卫生服务、公共卫生保障等职能完全相符，全面落实部门职责。达到评价要求，该指标不扣分。</w:t>
      </w:r>
    </w:p>
    <w:p w14:paraId="42EADC12">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②工作计划健全性权重1分，得分1分，未扣分。</w:t>
      </w:r>
    </w:p>
    <w:p w14:paraId="47097B60">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卫健局工作计划覆盖医疗体系、医改、健康行动等九大领域，聚焦服务体系健全、医改推进、健康建设等核心任务，兼顾“一老一小”、中医药发展等民生需求，还含产业招商、法治建设等保障，目标明确、举措具体，全方位覆盖卫健工作，计划健全完善。达到评价要求，该指标不扣分。</w:t>
      </w:r>
    </w:p>
    <w:p w14:paraId="51CEEDBC">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（2）预算编制分析</w:t>
      </w:r>
    </w:p>
    <w:p w14:paraId="0A8339AA">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①预算编制科学性权重1分，得分1分，未扣分。</w:t>
      </w:r>
    </w:p>
    <w:p w14:paraId="6747E59A">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根据《下陆区财政局关于批复2024年区直部门预算的通知》黄下财预发〔2024〕1号，区</w:t>
      </w:r>
      <w:r>
        <w:rPr>
          <w:rFonts w:hint="eastAsia" w:cs="仿宋"/>
          <w:highlight w:val="none"/>
          <w:lang w:val="en-US" w:eastAsia="zh-CN"/>
        </w:rPr>
        <w:t>卫健局</w:t>
      </w:r>
      <w:r>
        <w:rPr>
          <w:rFonts w:hint="eastAsia" w:ascii="仿宋" w:hAnsi="仿宋" w:eastAsia="仿宋" w:cs="仿宋"/>
          <w:highlight w:val="none"/>
          <w:lang w:val="en-US" w:eastAsia="zh-CN"/>
        </w:rPr>
        <w:t>按照预算编制要求编制基本支出预算和项目支出预算，预算编制的基本信息内容真实、完整、准确，基本支出预算按照规定标准编制，项目预算测算依据充分。达到评价要求，该指标不扣分。</w:t>
      </w:r>
    </w:p>
    <w:p w14:paraId="4C4043A6">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②预算编制合理性权重1分，得分1分，未扣分。</w:t>
      </w:r>
    </w:p>
    <w:p w14:paraId="58701710">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根据《下陆区财政局关于批复2024年区直部门预算的通知》黄下财预发〔2024〕1号，项目支出预算包括部门项目支出，重点项目预算有保障；部门内部项目之间不存在交叉重复。达到评价要求，该指标不扣分。</w:t>
      </w:r>
    </w:p>
    <w:p w14:paraId="5F319FE5">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③立项规范性权重1分，得分1分，未扣分。</w:t>
      </w:r>
    </w:p>
    <w:p w14:paraId="0DD0014A">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根据《下陆区财政局关于批复2024年区直部门预算的通知》黄下财预发〔2024〕1号，区</w:t>
      </w:r>
      <w:r>
        <w:rPr>
          <w:rFonts w:hint="eastAsia" w:cs="仿宋"/>
          <w:highlight w:val="none"/>
          <w:lang w:val="en-US" w:eastAsia="zh-CN"/>
        </w:rPr>
        <w:t>卫健局</w:t>
      </w:r>
      <w:r>
        <w:rPr>
          <w:rFonts w:hint="eastAsia" w:ascii="仿宋" w:hAnsi="仿宋" w:eastAsia="仿宋" w:cs="仿宋"/>
          <w:highlight w:val="none"/>
          <w:lang w:val="en-US" w:eastAsia="zh-CN"/>
        </w:rPr>
        <w:t>本级项目均通过项目审批，项目设立依据充分，按照规定的程序申请设立；项目事前经过必要的可行性研究、集体决策等。达到评价要求，该指标不扣分。</w:t>
      </w:r>
    </w:p>
    <w:p w14:paraId="7FCE3956">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④预算调整率权重2分，不得分。</w:t>
      </w:r>
    </w:p>
    <w:p w14:paraId="257AA70F">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w:t>
      </w:r>
      <w:r>
        <w:rPr>
          <w:rFonts w:hint="eastAsia" w:cs="仿宋"/>
          <w:highlight w:val="none"/>
          <w:lang w:val="en-US" w:eastAsia="zh-CN"/>
        </w:rPr>
        <w:t>卫健局</w:t>
      </w:r>
      <w:r>
        <w:rPr>
          <w:rFonts w:hint="eastAsia" w:ascii="仿宋" w:hAnsi="仿宋" w:eastAsia="仿宋" w:cs="仿宋"/>
          <w:highlight w:val="none"/>
          <w:lang w:val="en-US" w:eastAsia="zh-CN"/>
        </w:rPr>
        <w:t>2024年度决算报表，年初预算</w:t>
      </w:r>
      <w:r>
        <w:rPr>
          <w:rFonts w:hint="eastAsia" w:cs="仿宋"/>
          <w:highlight w:val="none"/>
          <w:lang w:val="en-US" w:eastAsia="zh-CN"/>
        </w:rPr>
        <w:t>1,807,745.66</w:t>
      </w:r>
      <w:r>
        <w:rPr>
          <w:rFonts w:hint="eastAsia" w:ascii="仿宋" w:hAnsi="仿宋" w:eastAsia="仿宋" w:cs="仿宋"/>
          <w:highlight w:val="none"/>
          <w:lang w:val="en-US" w:eastAsia="zh-CN"/>
        </w:rPr>
        <w:t>元，全年预算数</w:t>
      </w:r>
      <w:r>
        <w:rPr>
          <w:rFonts w:hint="eastAsia" w:cs="仿宋"/>
          <w:highlight w:val="none"/>
          <w:lang w:val="en-US" w:eastAsia="zh-CN"/>
        </w:rPr>
        <w:t>21,273,667.07元</w:t>
      </w:r>
      <w:r>
        <w:rPr>
          <w:rFonts w:hint="eastAsia" w:ascii="仿宋" w:hAnsi="仿宋" w:eastAsia="仿宋" w:cs="仿宋"/>
          <w:highlight w:val="none"/>
          <w:lang w:val="en-US" w:eastAsia="zh-CN"/>
        </w:rPr>
        <w:t>，预算调整率1076.81%。根据评分标准，预算调整率每增加1%，扣5%权重分，故本指标不得分。</w:t>
      </w:r>
    </w:p>
    <w:p w14:paraId="6D67A604">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（3）预算执行分析</w:t>
      </w:r>
    </w:p>
    <w:p w14:paraId="3C58D0CE">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①预算执行率权重2分，得分2分，未扣分。</w:t>
      </w:r>
    </w:p>
    <w:p w14:paraId="364F314C">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w:t>
      </w:r>
      <w:r>
        <w:rPr>
          <w:rFonts w:hint="eastAsia" w:cs="仿宋"/>
          <w:highlight w:val="none"/>
          <w:lang w:val="en-US" w:eastAsia="zh-CN"/>
        </w:rPr>
        <w:t>卫健局</w:t>
      </w:r>
      <w:r>
        <w:rPr>
          <w:rFonts w:hint="eastAsia" w:ascii="仿宋" w:hAnsi="仿宋" w:eastAsia="仿宋" w:cs="仿宋"/>
          <w:highlight w:val="none"/>
          <w:lang w:val="en-US" w:eastAsia="zh-CN"/>
        </w:rPr>
        <w:t>2024年度决算报表，基本支出预算执行数</w:t>
      </w:r>
      <w:r>
        <w:rPr>
          <w:rFonts w:hint="eastAsia" w:cs="仿宋"/>
          <w:highlight w:val="none"/>
          <w:lang w:val="en-US" w:eastAsia="zh-CN"/>
        </w:rPr>
        <w:t>1,813,826.43</w:t>
      </w:r>
      <w:r>
        <w:rPr>
          <w:rFonts w:hint="eastAsia" w:ascii="仿宋" w:hAnsi="仿宋" w:eastAsia="仿宋" w:cs="仿宋"/>
          <w:highlight w:val="none"/>
          <w:lang w:val="en-US" w:eastAsia="zh-CN"/>
        </w:rPr>
        <w:t>元，调整预算数</w:t>
      </w:r>
      <w:r>
        <w:rPr>
          <w:rFonts w:hint="eastAsia" w:cs="仿宋"/>
          <w:highlight w:val="none"/>
          <w:lang w:val="en-US" w:eastAsia="zh-CN"/>
        </w:rPr>
        <w:t>1,813,826.43</w:t>
      </w:r>
      <w:r>
        <w:rPr>
          <w:rFonts w:hint="eastAsia" w:ascii="仿宋" w:hAnsi="仿宋" w:eastAsia="仿宋" w:cs="仿宋"/>
          <w:highlight w:val="none"/>
          <w:lang w:val="en-US" w:eastAsia="zh-CN"/>
        </w:rPr>
        <w:t>元，预算执行率100%，此项得分0.6分；项目支出预算执行数</w:t>
      </w:r>
      <w:r>
        <w:rPr>
          <w:rFonts w:hint="eastAsia" w:cs="仿宋"/>
          <w:highlight w:val="none"/>
          <w:lang w:val="en-US" w:eastAsia="zh-CN"/>
        </w:rPr>
        <w:t>19,459,840.64</w:t>
      </w:r>
      <w:r>
        <w:rPr>
          <w:rFonts w:hint="eastAsia" w:ascii="仿宋" w:hAnsi="仿宋" w:eastAsia="仿宋" w:cs="仿宋"/>
          <w:highlight w:val="none"/>
          <w:lang w:val="en-US" w:eastAsia="zh-CN"/>
        </w:rPr>
        <w:t>元，调整预算数</w:t>
      </w:r>
      <w:r>
        <w:rPr>
          <w:rFonts w:hint="eastAsia" w:cs="仿宋"/>
          <w:highlight w:val="none"/>
          <w:lang w:val="en-US" w:eastAsia="zh-CN"/>
        </w:rPr>
        <w:t>19,459,840.64</w:t>
      </w:r>
      <w:r>
        <w:rPr>
          <w:rFonts w:hint="eastAsia" w:ascii="仿宋" w:hAnsi="仿宋" w:eastAsia="仿宋" w:cs="仿宋"/>
          <w:highlight w:val="none"/>
          <w:lang w:val="en-US" w:eastAsia="zh-CN"/>
        </w:rPr>
        <w:t>元，预算执行率100%，此项得分1.4分。达到评价要求，该指标不扣分。</w:t>
      </w:r>
    </w:p>
    <w:p w14:paraId="17230EDF">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②结转结余率权重1分，得分0.</w:t>
      </w:r>
      <w:r>
        <w:rPr>
          <w:rFonts w:hint="eastAsia" w:cs="仿宋"/>
          <w:highlight w:val="none"/>
          <w:lang w:val="en-US" w:eastAsia="zh-CN"/>
        </w:rPr>
        <w:t>8</w:t>
      </w:r>
      <w:r>
        <w:rPr>
          <w:rFonts w:hint="eastAsia" w:ascii="仿宋" w:hAnsi="仿宋" w:eastAsia="仿宋" w:cs="仿宋"/>
          <w:highlight w:val="none"/>
          <w:lang w:val="en-US" w:eastAsia="zh-CN"/>
        </w:rPr>
        <w:t>分，扣0.</w:t>
      </w:r>
      <w:r>
        <w:rPr>
          <w:rFonts w:hint="eastAsia" w:cs="仿宋"/>
          <w:highlight w:val="none"/>
          <w:lang w:val="en-US" w:eastAsia="zh-CN"/>
        </w:rPr>
        <w:t>2</w:t>
      </w:r>
      <w:r>
        <w:rPr>
          <w:rFonts w:hint="eastAsia" w:ascii="仿宋" w:hAnsi="仿宋" w:eastAsia="仿宋" w:cs="仿宋"/>
          <w:highlight w:val="none"/>
          <w:lang w:val="en-US" w:eastAsia="zh-CN"/>
        </w:rPr>
        <w:t>分。</w:t>
      </w:r>
    </w:p>
    <w:p w14:paraId="36FE47D2">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w:t>
      </w:r>
      <w:r>
        <w:rPr>
          <w:rFonts w:hint="eastAsia" w:cs="仿宋"/>
          <w:highlight w:val="none"/>
          <w:lang w:val="en-US" w:eastAsia="zh-CN"/>
        </w:rPr>
        <w:t>卫健局</w:t>
      </w:r>
      <w:r>
        <w:rPr>
          <w:rFonts w:hint="eastAsia" w:ascii="仿宋" w:hAnsi="仿宋" w:eastAsia="仿宋" w:cs="仿宋"/>
          <w:highlight w:val="none"/>
          <w:lang w:val="en-US" w:eastAsia="zh-CN"/>
        </w:rPr>
        <w:t>2024年度决算报表，2024年结转结余总额416,675.07元，调整预算数</w:t>
      </w:r>
      <w:r>
        <w:rPr>
          <w:rFonts w:hint="eastAsia" w:cs="仿宋"/>
          <w:highlight w:val="none"/>
          <w:lang w:val="en-US" w:eastAsia="zh-CN"/>
        </w:rPr>
        <w:t>21,273,667.07</w:t>
      </w:r>
      <w:r>
        <w:rPr>
          <w:rFonts w:hint="eastAsia" w:ascii="仿宋" w:hAnsi="仿宋" w:eastAsia="仿宋" w:cs="仿宋"/>
          <w:highlight w:val="none"/>
          <w:lang w:val="en-US" w:eastAsia="zh-CN"/>
        </w:rPr>
        <w:t>元，结转结余率1.96%。根据评分标准，结转结余率每增加1%，扣10%的权重分，按评分标准，该指标得0.</w:t>
      </w:r>
      <w:r>
        <w:rPr>
          <w:rFonts w:hint="eastAsia" w:cs="仿宋"/>
          <w:highlight w:val="none"/>
          <w:lang w:val="en-US" w:eastAsia="zh-CN"/>
        </w:rPr>
        <w:t>8</w:t>
      </w:r>
      <w:r>
        <w:rPr>
          <w:rFonts w:hint="eastAsia" w:ascii="仿宋" w:hAnsi="仿宋" w:eastAsia="仿宋" w:cs="仿宋"/>
          <w:highlight w:val="none"/>
          <w:lang w:val="en-US" w:eastAsia="zh-CN"/>
        </w:rPr>
        <w:t>分。</w:t>
      </w:r>
    </w:p>
    <w:p w14:paraId="54160FB7">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③政府采购执行率权重1分，得分</w:t>
      </w:r>
      <w:r>
        <w:rPr>
          <w:rFonts w:hint="eastAsia" w:cs="仿宋"/>
          <w:highlight w:val="none"/>
          <w:lang w:val="en-US" w:eastAsia="zh-CN"/>
        </w:rPr>
        <w:t>0.91</w:t>
      </w:r>
      <w:r>
        <w:rPr>
          <w:rFonts w:hint="eastAsia" w:ascii="仿宋" w:hAnsi="仿宋" w:eastAsia="仿宋" w:cs="仿宋"/>
          <w:highlight w:val="none"/>
          <w:lang w:val="en-US" w:eastAsia="zh-CN"/>
        </w:rPr>
        <w:t>分，扣</w:t>
      </w:r>
      <w:r>
        <w:rPr>
          <w:rFonts w:hint="eastAsia" w:cs="仿宋"/>
          <w:highlight w:val="none"/>
          <w:lang w:val="en-US" w:eastAsia="zh-CN"/>
        </w:rPr>
        <w:t>0.09</w:t>
      </w:r>
      <w:r>
        <w:rPr>
          <w:rFonts w:hint="eastAsia" w:ascii="仿宋" w:hAnsi="仿宋" w:eastAsia="仿宋" w:cs="仿宋"/>
          <w:highlight w:val="none"/>
          <w:lang w:val="en-US" w:eastAsia="zh-CN"/>
        </w:rPr>
        <w:t>分。</w:t>
      </w:r>
    </w:p>
    <w:p w14:paraId="6D65C3CF">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根据《下陆区财政局关于批复2024年区直部门预算的通知》黄下财预发〔2024〕1号和区</w:t>
      </w:r>
      <w:r>
        <w:rPr>
          <w:rFonts w:hint="eastAsia" w:cs="仿宋"/>
          <w:highlight w:val="none"/>
          <w:lang w:val="en-US" w:eastAsia="zh-CN"/>
        </w:rPr>
        <w:t>卫健局</w:t>
      </w:r>
      <w:r>
        <w:rPr>
          <w:rFonts w:hint="eastAsia" w:ascii="仿宋" w:hAnsi="仿宋" w:eastAsia="仿宋" w:cs="仿宋"/>
          <w:highlight w:val="none"/>
          <w:lang w:val="en-US" w:eastAsia="zh-CN"/>
        </w:rPr>
        <w:t>2024年度决算报表，2024年政府采购预算12,600.00元，实际执行11,444.72元，执行率90.83%，根据评分标准，该指标扣</w:t>
      </w:r>
      <w:r>
        <w:rPr>
          <w:rFonts w:hint="eastAsia" w:cs="仿宋"/>
          <w:highlight w:val="none"/>
          <w:lang w:val="en-US" w:eastAsia="zh-CN"/>
        </w:rPr>
        <w:t>0.09</w:t>
      </w:r>
      <w:r>
        <w:rPr>
          <w:rFonts w:hint="eastAsia" w:ascii="仿宋" w:hAnsi="仿宋" w:eastAsia="仿宋" w:cs="仿宋"/>
          <w:highlight w:val="none"/>
          <w:lang w:val="en-US" w:eastAsia="zh-CN"/>
        </w:rPr>
        <w:t>分。</w:t>
      </w:r>
    </w:p>
    <w:p w14:paraId="7415BE5A">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④非税收入预算完成率权重1分，得分1分，未扣分。</w:t>
      </w:r>
    </w:p>
    <w:p w14:paraId="0134811A">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w:t>
      </w:r>
      <w:r>
        <w:rPr>
          <w:rFonts w:hint="eastAsia" w:cs="仿宋"/>
          <w:highlight w:val="none"/>
          <w:lang w:val="en-US" w:eastAsia="zh-CN"/>
        </w:rPr>
        <w:t>卫健局</w:t>
      </w:r>
      <w:r>
        <w:rPr>
          <w:rFonts w:hint="eastAsia" w:ascii="仿宋" w:hAnsi="仿宋" w:eastAsia="仿宋" w:cs="仿宋"/>
          <w:highlight w:val="none"/>
          <w:lang w:val="en-US" w:eastAsia="zh-CN"/>
        </w:rPr>
        <w:t>2024年度决算报表，2024年无非税收入，2024年也未制定非税收入预算，故本指标不扣分。</w:t>
      </w:r>
    </w:p>
    <w:p w14:paraId="56498667">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（4）绩效管理分析</w:t>
      </w:r>
    </w:p>
    <w:p w14:paraId="5DB613F4">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①事前绩效评估完成率权重1分，得分1分，未扣分。</w:t>
      </w:r>
    </w:p>
    <w:p w14:paraId="2D286A95">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w:t>
      </w:r>
      <w:r>
        <w:rPr>
          <w:rFonts w:hint="eastAsia" w:cs="仿宋"/>
          <w:highlight w:val="none"/>
          <w:lang w:val="en-US" w:eastAsia="zh-CN"/>
        </w:rPr>
        <w:t>卫健局</w:t>
      </w:r>
      <w:r>
        <w:rPr>
          <w:rFonts w:hint="eastAsia" w:ascii="仿宋" w:hAnsi="仿宋" w:eastAsia="仿宋" w:cs="仿宋"/>
          <w:highlight w:val="none"/>
          <w:lang w:val="en-US" w:eastAsia="zh-CN"/>
        </w:rPr>
        <w:t>2024年度决算报表，2024年区</w:t>
      </w:r>
      <w:r>
        <w:rPr>
          <w:rFonts w:hint="eastAsia" w:cs="仿宋"/>
          <w:highlight w:val="none"/>
          <w:lang w:val="en-US" w:eastAsia="zh-CN"/>
        </w:rPr>
        <w:t>卫健局</w:t>
      </w:r>
      <w:r>
        <w:rPr>
          <w:rFonts w:hint="eastAsia" w:ascii="仿宋" w:hAnsi="仿宋" w:eastAsia="仿宋" w:cs="仿宋"/>
          <w:highlight w:val="none"/>
          <w:lang w:val="en-US" w:eastAsia="zh-CN"/>
        </w:rPr>
        <w:t>重点项目均为常年性项目，且单个预算金额均</w:t>
      </w:r>
      <w:r>
        <w:rPr>
          <w:rFonts w:hint="eastAsia" w:cs="仿宋"/>
          <w:highlight w:val="none"/>
          <w:lang w:val="en-US" w:eastAsia="zh-CN"/>
        </w:rPr>
        <w:t>未</w:t>
      </w:r>
      <w:r>
        <w:rPr>
          <w:rFonts w:hint="eastAsia" w:ascii="仿宋" w:hAnsi="仿宋" w:eastAsia="仿宋" w:cs="仿宋"/>
          <w:highlight w:val="none"/>
          <w:lang w:val="en-US" w:eastAsia="zh-CN"/>
        </w:rPr>
        <w:t>超过</w:t>
      </w:r>
      <w:r>
        <w:rPr>
          <w:rFonts w:hint="eastAsia" w:cs="仿宋"/>
          <w:highlight w:val="none"/>
          <w:lang w:val="en-US" w:eastAsia="zh-CN"/>
        </w:rPr>
        <w:t>100</w:t>
      </w:r>
      <w:r>
        <w:rPr>
          <w:rFonts w:hint="eastAsia" w:ascii="仿宋" w:hAnsi="仿宋" w:eastAsia="仿宋" w:cs="仿宋"/>
          <w:highlight w:val="none"/>
          <w:lang w:val="en-US" w:eastAsia="zh-CN"/>
        </w:rPr>
        <w:t>万元，无需开展事前绩效评估。达到评价要求，该指标不扣分。</w:t>
      </w:r>
    </w:p>
    <w:p w14:paraId="028DA209">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②绩效目标合理性权重1分，得分</w:t>
      </w:r>
      <w:r>
        <w:rPr>
          <w:rFonts w:hint="eastAsia" w:cs="仿宋"/>
          <w:highlight w:val="none"/>
          <w:lang w:val="en-US" w:eastAsia="zh-CN"/>
        </w:rPr>
        <w:t>0.5</w:t>
      </w:r>
      <w:r>
        <w:rPr>
          <w:rFonts w:hint="eastAsia" w:ascii="仿宋" w:hAnsi="仿宋" w:eastAsia="仿宋" w:cs="仿宋"/>
          <w:highlight w:val="none"/>
          <w:lang w:val="en-US" w:eastAsia="zh-CN"/>
        </w:rPr>
        <w:t>分，</w:t>
      </w:r>
      <w:r>
        <w:rPr>
          <w:rFonts w:hint="eastAsia" w:cs="仿宋"/>
          <w:highlight w:val="none"/>
          <w:lang w:val="en-US" w:eastAsia="zh-CN"/>
        </w:rPr>
        <w:t>扣0.5</w:t>
      </w:r>
      <w:r>
        <w:rPr>
          <w:rFonts w:hint="eastAsia" w:ascii="仿宋" w:hAnsi="仿宋" w:eastAsia="仿宋" w:cs="仿宋"/>
          <w:highlight w:val="none"/>
          <w:lang w:val="en-US" w:eastAsia="zh-CN"/>
        </w:rPr>
        <w:t>分。</w:t>
      </w:r>
    </w:p>
    <w:p w14:paraId="0E8DE6D3">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从部门绩效资料来看，区卫健局2024年已填报项目绩效目标表，目标合理、指标贴合实际，也制定了部门整体与项目绩效目标。但部门整体支出绩效指标未匹配单位职责，履职效能仅设两项指标，核心业务产出指标缺失，根据评分标准，本指标扣0.5分。</w:t>
      </w:r>
    </w:p>
    <w:p w14:paraId="74DCDEEE">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③绩效监控开展率权重1分，不得分。</w:t>
      </w:r>
    </w:p>
    <w:p w14:paraId="58613CBB">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w:t>
      </w:r>
      <w:r>
        <w:rPr>
          <w:rFonts w:hint="eastAsia" w:cs="仿宋"/>
          <w:highlight w:val="none"/>
          <w:lang w:val="en-US" w:eastAsia="zh-CN"/>
        </w:rPr>
        <w:t>卫健局</w:t>
      </w:r>
      <w:r>
        <w:rPr>
          <w:rFonts w:hint="eastAsia" w:ascii="仿宋" w:hAnsi="仿宋" w:eastAsia="仿宋" w:cs="仿宋"/>
          <w:highlight w:val="none"/>
          <w:lang w:val="en-US" w:eastAsia="zh-CN"/>
        </w:rPr>
        <w:t>2024年</w:t>
      </w:r>
      <w:r>
        <w:rPr>
          <w:rFonts w:hint="eastAsia" w:cs="仿宋"/>
          <w:highlight w:val="none"/>
          <w:lang w:val="en-US" w:eastAsia="zh-CN"/>
        </w:rPr>
        <w:t>未</w:t>
      </w:r>
      <w:r>
        <w:rPr>
          <w:rFonts w:hint="eastAsia" w:ascii="仿宋" w:hAnsi="仿宋" w:eastAsia="仿宋" w:cs="仿宋"/>
          <w:highlight w:val="none"/>
          <w:lang w:val="en-US" w:eastAsia="zh-CN"/>
        </w:rPr>
        <w:t>开展事中绩效监控。根据评分标准，本指标不得分。</w:t>
      </w:r>
    </w:p>
    <w:p w14:paraId="2563BDE8">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④绩效评价覆盖率权重1分，不得分。</w:t>
      </w:r>
    </w:p>
    <w:p w14:paraId="2A6BEA8F">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w:t>
      </w:r>
      <w:r>
        <w:rPr>
          <w:rFonts w:hint="eastAsia" w:cs="仿宋"/>
          <w:highlight w:val="none"/>
          <w:lang w:val="en-US" w:eastAsia="zh-CN"/>
        </w:rPr>
        <w:t>卫健局</w:t>
      </w:r>
      <w:r>
        <w:rPr>
          <w:rFonts w:hint="eastAsia" w:ascii="仿宋" w:hAnsi="仿宋" w:eastAsia="仿宋" w:cs="仿宋"/>
          <w:highlight w:val="none"/>
          <w:lang w:val="en-US" w:eastAsia="zh-CN"/>
        </w:rPr>
        <w:t>2024年绩效管理资料，区</w:t>
      </w:r>
      <w:r>
        <w:rPr>
          <w:rFonts w:hint="eastAsia" w:cs="仿宋"/>
          <w:highlight w:val="none"/>
          <w:lang w:val="en-US" w:eastAsia="zh-CN"/>
        </w:rPr>
        <w:t>卫健</w:t>
      </w:r>
      <w:r>
        <w:rPr>
          <w:rFonts w:hint="eastAsia" w:ascii="仿宋" w:hAnsi="仿宋" w:eastAsia="仿宋" w:cs="仿宋"/>
          <w:highlight w:val="none"/>
          <w:lang w:val="en-US" w:eastAsia="zh-CN"/>
        </w:rPr>
        <w:t>局未开展重点项目自评和部门整体支出自评工作，未形成绩效自评成果。根据评分标准，本指标不得分。</w:t>
      </w:r>
    </w:p>
    <w:p w14:paraId="4F7B483A">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⑤评价结果应用率权重1分，不得分。</w:t>
      </w:r>
    </w:p>
    <w:p w14:paraId="69A8179C">
      <w:pPr>
        <w:pStyle w:val="8"/>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区卫健局未开展绩效自评工作，无评价结果应用。根据评分标准，本指标不得分。</w:t>
      </w:r>
    </w:p>
    <w:p w14:paraId="709EAC83">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（5）资产管理分析</w:t>
      </w:r>
    </w:p>
    <w:p w14:paraId="124D0C90">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①资产管理制度健全性权重1分，得分1分，未扣分。</w:t>
      </w:r>
    </w:p>
    <w:p w14:paraId="30E7A43D">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w:t>
      </w:r>
      <w:r>
        <w:rPr>
          <w:rFonts w:hint="eastAsia" w:cs="仿宋"/>
          <w:highlight w:val="none"/>
          <w:lang w:val="en-US" w:eastAsia="zh-CN"/>
        </w:rPr>
        <w:t>卫健局</w:t>
      </w:r>
      <w:r>
        <w:rPr>
          <w:rFonts w:hint="eastAsia" w:ascii="仿宋" w:hAnsi="仿宋" w:eastAsia="仿宋" w:cs="仿宋"/>
          <w:highlight w:val="none"/>
          <w:lang w:val="en-US" w:eastAsia="zh-CN"/>
        </w:rPr>
        <w:t>资产管理制度健全完善，明确资产全生命周期管理要求。通过规范制度保障资产账与财务账精准对接，重要资产设施等账实一致，资产登记、处置等流程有章可循，形成常态化管理机制，有效提升资产管理规范化水平。达到评价要求，该指标不扣分。</w:t>
      </w:r>
    </w:p>
    <w:p w14:paraId="41948D47">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②资产管理规范性权重1分，得分1分，未扣分。</w:t>
      </w:r>
    </w:p>
    <w:p w14:paraId="2F7F4E52">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根据单位资产统计表等资料，区</w:t>
      </w:r>
      <w:r>
        <w:rPr>
          <w:rFonts w:hint="eastAsia" w:cs="仿宋"/>
          <w:highlight w:val="none"/>
          <w:lang w:val="en-US" w:eastAsia="zh-CN"/>
        </w:rPr>
        <w:t>卫健局</w:t>
      </w:r>
      <w:r>
        <w:rPr>
          <w:rFonts w:hint="eastAsia" w:ascii="仿宋" w:hAnsi="仿宋" w:eastAsia="仿宋" w:cs="仿宋"/>
          <w:highlight w:val="none"/>
          <w:lang w:val="en-US" w:eastAsia="zh-CN"/>
        </w:rPr>
        <w:t>资产账与财务账核对一致，重要设备资产、办公设备等账实相符。资产购置、登记、领用全程及时建档，处置流程合规透明，定期清查盘点常态化，有效保障资产安全完整，为水利履职和项目实施提供坚实物资支撑。达到评价要求，该指标不扣分。</w:t>
      </w:r>
    </w:p>
    <w:p w14:paraId="4DF11FC3">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（6）财务管理分析</w:t>
      </w:r>
    </w:p>
    <w:p w14:paraId="365C58FA">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①财务管理制度健全性权重1分，得分1分，未扣分。</w:t>
      </w:r>
    </w:p>
    <w:p w14:paraId="0FCE4032">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w:t>
      </w:r>
      <w:r>
        <w:rPr>
          <w:rFonts w:hint="eastAsia" w:cs="仿宋"/>
          <w:highlight w:val="none"/>
          <w:lang w:val="en-US" w:eastAsia="zh-CN"/>
        </w:rPr>
        <w:t>卫健局</w:t>
      </w:r>
      <w:r>
        <w:rPr>
          <w:rFonts w:hint="eastAsia" w:ascii="仿宋" w:hAnsi="仿宋" w:eastAsia="仿宋" w:cs="仿宋"/>
          <w:highlight w:val="none"/>
          <w:lang w:val="en-US" w:eastAsia="zh-CN"/>
        </w:rPr>
        <w:t>财务管理制度健全，覆盖预算编制、资金使用、支出审批等全流程。制度明确财务岗位职责与权限，规范票据管理、资产管理衔接及内控流程，严格执行财经法规，形成闭环管理机制，保障财务活动合规高效，支撑部门履职规范运行。达到评价要求，该指标不扣分。</w:t>
      </w:r>
    </w:p>
    <w:p w14:paraId="76817BAD">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②会计核算规范性权重1分，得分1分，不扣分。</w:t>
      </w:r>
    </w:p>
    <w:p w14:paraId="6072A0EB">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通过评价小组现场核查，区</w:t>
      </w:r>
      <w:r>
        <w:rPr>
          <w:rFonts w:hint="eastAsia" w:cs="仿宋"/>
          <w:highlight w:val="none"/>
          <w:lang w:val="en-US" w:eastAsia="zh-CN"/>
        </w:rPr>
        <w:t>卫健局</w:t>
      </w:r>
      <w:r>
        <w:rPr>
          <w:rFonts w:hint="eastAsia" w:ascii="仿宋" w:hAnsi="仿宋" w:eastAsia="仿宋" w:cs="仿宋"/>
          <w:highlight w:val="none"/>
          <w:lang w:val="en-US" w:eastAsia="zh-CN"/>
        </w:rPr>
        <w:t>财务核算符合国家财经法规和财务管理制度及专项资金管理有关规定；基础数据信息和会计信息资料是否真实、准确、完整。达到评价要求，该指标不扣分。</w:t>
      </w:r>
    </w:p>
    <w:p w14:paraId="289447FD">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③资金使用合规性权重1分，得分1分，不扣分。</w:t>
      </w:r>
    </w:p>
    <w:p w14:paraId="5B9A8EF9">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通过评价小组现场核查，区</w:t>
      </w:r>
      <w:r>
        <w:rPr>
          <w:rFonts w:hint="eastAsia" w:cs="仿宋"/>
          <w:highlight w:val="none"/>
          <w:lang w:val="en-US" w:eastAsia="zh-CN"/>
        </w:rPr>
        <w:t>卫健局</w:t>
      </w:r>
      <w:r>
        <w:rPr>
          <w:rFonts w:hint="eastAsia" w:ascii="仿宋" w:hAnsi="仿宋" w:eastAsia="仿宋" w:cs="仿宋"/>
          <w:highlight w:val="none"/>
          <w:lang w:val="en-US" w:eastAsia="zh-CN"/>
        </w:rPr>
        <w:t>使用预算资金符合国家财经法规和财务管理制度以及有关专项资金管理办法的规定；不存在截留、挤占、挪用、虚列支出等情况；资金拨付有完整的审批程序和手续；公用经费不存在超标准支出情况，项目支出与公用经费不存在交叉重复。达到评价要求，该指标不扣分。</w:t>
      </w:r>
    </w:p>
    <w:p w14:paraId="536BCD08">
      <w:pPr>
        <w:pStyle w:val="4"/>
        <w:spacing w:before="0" w:after="0" w:line="560" w:lineRule="exact"/>
        <w:ind w:firstLine="632" w:firstLineChars="200"/>
        <w:rPr>
          <w:rFonts w:hint="default"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3.履职效能分析</w:t>
      </w:r>
    </w:p>
    <w:p w14:paraId="69A59F4B">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评价人员从基层医疗服务、公共卫生服务</w:t>
      </w:r>
      <w:r>
        <w:rPr>
          <w:rFonts w:hint="eastAsia" w:cs="仿宋"/>
          <w:highlight w:val="none"/>
          <w:lang w:val="en-US" w:eastAsia="zh-CN"/>
        </w:rPr>
        <w:t>、</w:t>
      </w:r>
      <w:r>
        <w:rPr>
          <w:rFonts w:hint="eastAsia" w:ascii="仿宋" w:hAnsi="仿宋" w:eastAsia="仿宋" w:cs="仿宋"/>
          <w:highlight w:val="none"/>
          <w:lang w:val="en-US" w:eastAsia="zh-CN"/>
        </w:rPr>
        <w:t>健康城市建设</w:t>
      </w:r>
      <w:r>
        <w:rPr>
          <w:rFonts w:hint="eastAsia" w:cs="仿宋"/>
          <w:highlight w:val="none"/>
          <w:lang w:val="en-US" w:eastAsia="zh-CN"/>
        </w:rPr>
        <w:t>、</w:t>
      </w:r>
      <w:r>
        <w:rPr>
          <w:rFonts w:hint="eastAsia" w:ascii="仿宋" w:hAnsi="仿宋" w:eastAsia="仿宋" w:cs="仿宋"/>
          <w:highlight w:val="none"/>
          <w:lang w:val="en-US" w:eastAsia="zh-CN"/>
        </w:rPr>
        <w:t>优生优育与人口服务</w:t>
      </w:r>
      <w:r>
        <w:rPr>
          <w:rFonts w:hint="eastAsia" w:cs="仿宋"/>
          <w:highlight w:val="none"/>
          <w:lang w:val="en-US" w:eastAsia="zh-CN"/>
        </w:rPr>
        <w:t>、</w:t>
      </w:r>
      <w:r>
        <w:rPr>
          <w:rFonts w:hint="eastAsia" w:ascii="仿宋" w:hAnsi="仿宋" w:eastAsia="仿宋" w:cs="仿宋"/>
          <w:highlight w:val="none"/>
          <w:lang w:val="en-US" w:eastAsia="zh-CN"/>
        </w:rPr>
        <w:t>行业安全与应急管理等</w:t>
      </w:r>
      <w:r>
        <w:rPr>
          <w:rFonts w:hint="eastAsia" w:cs="仿宋"/>
          <w:highlight w:val="none"/>
          <w:lang w:val="en-US" w:eastAsia="zh-CN"/>
        </w:rPr>
        <w:t>五</w:t>
      </w:r>
      <w:r>
        <w:rPr>
          <w:rFonts w:hint="eastAsia" w:ascii="仿宋" w:hAnsi="仿宋" w:eastAsia="仿宋" w:cs="仿宋"/>
          <w:highlight w:val="none"/>
          <w:lang w:val="en-US" w:eastAsia="zh-CN"/>
        </w:rPr>
        <w:t>个方面进行了评价，</w:t>
      </w:r>
      <w:r>
        <w:rPr>
          <w:rFonts w:hint="eastAsia" w:ascii="仿宋" w:hAnsi="仿宋" w:eastAsia="仿宋" w:cs="仿宋"/>
          <w:kern w:val="2"/>
          <w:sz w:val="32"/>
          <w:szCs w:val="32"/>
          <w:highlight w:val="none"/>
          <w:lang w:val="en-US" w:eastAsia="zh-CN" w:bidi="zh-CN"/>
        </w:rPr>
        <w:t>履职效能</w:t>
      </w:r>
      <w:r>
        <w:rPr>
          <w:rFonts w:hint="eastAsia" w:cs="仿宋"/>
          <w:kern w:val="2"/>
          <w:sz w:val="32"/>
          <w:szCs w:val="32"/>
          <w:highlight w:val="none"/>
          <w:lang w:val="en-US" w:eastAsia="zh-CN" w:bidi="zh-CN"/>
        </w:rPr>
        <w:t>指标</w:t>
      </w:r>
      <w:r>
        <w:rPr>
          <w:rFonts w:hint="eastAsia" w:ascii="仿宋" w:hAnsi="仿宋" w:cs="Times New Roman"/>
          <w:bCs/>
          <w:kern w:val="0"/>
          <w:szCs w:val="32"/>
          <w:highlight w:val="none"/>
          <w:lang w:val="en-US" w:eastAsia="zh-CN"/>
        </w:rPr>
        <w:t>总分</w:t>
      </w:r>
      <w:r>
        <w:rPr>
          <w:rFonts w:hint="eastAsia" w:cs="Times New Roman"/>
          <w:bCs/>
          <w:kern w:val="0"/>
          <w:szCs w:val="32"/>
          <w:highlight w:val="none"/>
          <w:lang w:val="en-US" w:eastAsia="zh-CN"/>
        </w:rPr>
        <w:t>37</w:t>
      </w:r>
      <w:r>
        <w:rPr>
          <w:rFonts w:hint="eastAsia" w:ascii="仿宋" w:hAnsi="仿宋" w:cs="Times New Roman"/>
          <w:bCs/>
          <w:kern w:val="0"/>
          <w:szCs w:val="32"/>
          <w:highlight w:val="none"/>
          <w:lang w:val="en-US" w:eastAsia="zh-CN"/>
        </w:rPr>
        <w:t>分，实际得分</w:t>
      </w:r>
      <w:r>
        <w:rPr>
          <w:rFonts w:hint="eastAsia" w:cs="Times New Roman"/>
          <w:bCs/>
          <w:kern w:val="0"/>
          <w:szCs w:val="32"/>
          <w:highlight w:val="none"/>
          <w:lang w:val="en-US" w:eastAsia="zh-CN"/>
        </w:rPr>
        <w:t>33.31</w:t>
      </w:r>
      <w:r>
        <w:rPr>
          <w:rFonts w:hint="eastAsia" w:ascii="仿宋" w:hAnsi="仿宋" w:cs="Times New Roman"/>
          <w:bCs/>
          <w:kern w:val="0"/>
          <w:szCs w:val="32"/>
          <w:highlight w:val="none"/>
          <w:lang w:val="en-US" w:eastAsia="zh-CN"/>
        </w:rPr>
        <w:t>分</w:t>
      </w:r>
      <w:r>
        <w:rPr>
          <w:rFonts w:hint="eastAsia" w:cs="Times New Roman"/>
          <w:bCs/>
          <w:kern w:val="0"/>
          <w:szCs w:val="32"/>
          <w:highlight w:val="none"/>
          <w:lang w:val="en-US" w:eastAsia="zh-CN"/>
        </w:rPr>
        <w:t>，</w:t>
      </w:r>
      <w:r>
        <w:rPr>
          <w:rFonts w:hint="eastAsia" w:ascii="仿宋" w:hAnsi="仿宋" w:eastAsia="仿宋" w:cs="仿宋"/>
          <w:highlight w:val="none"/>
          <w:lang w:val="en-US" w:eastAsia="zh-CN"/>
        </w:rPr>
        <w:t>具体如下：</w:t>
      </w:r>
    </w:p>
    <w:p w14:paraId="11DCF5F6">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（1）基层医疗服务</w:t>
      </w:r>
    </w:p>
    <w:p w14:paraId="64D49F8E">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①一体化基层医疗卫生云系统推广使用率权重</w:t>
      </w:r>
      <w:r>
        <w:rPr>
          <w:rFonts w:hint="eastAsia" w:cs="仿宋"/>
          <w:highlight w:val="none"/>
          <w:lang w:val="en-US" w:eastAsia="zh-CN"/>
        </w:rPr>
        <w:t>3</w:t>
      </w:r>
      <w:r>
        <w:rPr>
          <w:rFonts w:hint="eastAsia" w:ascii="仿宋" w:hAnsi="仿宋" w:eastAsia="仿宋" w:cs="仿宋"/>
          <w:highlight w:val="none"/>
          <w:lang w:val="en-US" w:eastAsia="zh-CN"/>
        </w:rPr>
        <w:t>分，得分</w:t>
      </w:r>
      <w:r>
        <w:rPr>
          <w:rFonts w:hint="eastAsia" w:cs="仿宋"/>
          <w:highlight w:val="none"/>
          <w:lang w:val="en-US" w:eastAsia="zh-CN"/>
        </w:rPr>
        <w:t>3</w:t>
      </w:r>
      <w:r>
        <w:rPr>
          <w:rFonts w:hint="eastAsia" w:ascii="仿宋" w:hAnsi="仿宋" w:eastAsia="仿宋" w:cs="仿宋"/>
          <w:highlight w:val="none"/>
          <w:lang w:val="en-US" w:eastAsia="zh-CN"/>
        </w:rPr>
        <w:t>分，未扣分。</w:t>
      </w:r>
    </w:p>
    <w:p w14:paraId="4BF9E579">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下陆区一体化基层医疗卫生云系统覆盖辖区所有社区卫生服务中心（站），使用率100%，满足评价要求。系统打通公共卫生、签约服务、HIS系统及健康一体机的数据壁垒，支持医生调取居民健康数据开展诊疗，辅助公卫人员推进工作，同时为居民查询健康信息提供渠道。达到评价要求，该指标不扣分。</w:t>
      </w:r>
    </w:p>
    <w:p w14:paraId="4B00083B">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②巡查公办社区卫生服务中心数量权重3分，得分3分，未扣分。</w:t>
      </w:r>
    </w:p>
    <w:p w14:paraId="2F3DC471">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全区现有社区卫生服务机构9家，</w:t>
      </w:r>
      <w:r>
        <w:rPr>
          <w:rFonts w:hint="eastAsia" w:cs="仿宋"/>
          <w:highlight w:val="none"/>
          <w:lang w:val="en-US" w:eastAsia="zh-CN"/>
        </w:rPr>
        <w:t>根据巡查方案，2024年计划对不少于10%的卫生服务机构开展巡查，2024年已完成既定任务，达到评价要求，该指标不扣分。</w:t>
      </w:r>
    </w:p>
    <w:p w14:paraId="1C22229C">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（2）公共卫生服务</w:t>
      </w:r>
    </w:p>
    <w:p w14:paraId="6787B9F5">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①全区基本公共卫生服务考核频次权重3分，得分3分，未扣分。</w:t>
      </w:r>
    </w:p>
    <w:p w14:paraId="79490244">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下陆区按计划开展全区基本公共卫生服务考核，累计组织2次考核工作，考核频次达到评价要求。通过考核，对辖区基本公共卫生服务开展情况进行检查与评估，为后续优化服务、提升质量提供依据，符合指标考核标准，该指标不扣分。</w:t>
      </w:r>
    </w:p>
    <w:p w14:paraId="53DFD70C">
      <w:pPr>
        <w:pStyle w:val="8"/>
        <w:overflowPunct w:val="0"/>
        <w:autoSpaceDE w:val="0"/>
        <w:autoSpaceDN w:val="0"/>
        <w:spacing w:line="560" w:lineRule="exact"/>
        <w:ind w:firstLine="630"/>
        <w:jc w:val="left"/>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②严重精神障碍患者管理覆盖率权重3分，得分3分，未扣分。</w:t>
      </w:r>
    </w:p>
    <w:p w14:paraId="54B7DE03">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下陆区通过摸清全区严重精神障碍患者底数、建立完善管理台账，实现系统在册6大类患者1074人全纳入管理。全年与其他成员单位定期交换患者相关信息8次，对行为异常或病情不稳定患者联合送医26人次，确保患者无遗漏管理，管理覆盖率达100%，符合评价要求，该指标不扣分。</w:t>
      </w:r>
    </w:p>
    <w:p w14:paraId="00E8F626">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（3）健康城市建设</w:t>
      </w:r>
    </w:p>
    <w:p w14:paraId="5E9CCC1A">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①爱国卫生运动开展率权重3分，得分3分，未扣分。</w:t>
      </w:r>
    </w:p>
    <w:p w14:paraId="6A7F3080">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下陆区牵头制定并下发《关于下陆区开展第36个爱国卫生月活动方案》，组织各机关（单位）开展卫生大扫除，围绕“健康城镇，健康体重”主题广泛开展宣传活动。期间累计清除积水及无用积水容器2000多处，为辖区1.2万个灭鼠毒饵站投放鼠药600公斤，结合创文工作对公共场所开展控烟督导检查20余次。各项爱国卫生工作均按要求推进，运动开展率达100%，符合评价要求，该指标不扣分</w:t>
      </w:r>
      <w:r>
        <w:rPr>
          <w:rFonts w:hint="eastAsia" w:cs="仿宋"/>
          <w:highlight w:val="none"/>
          <w:lang w:val="en-US" w:eastAsia="zh-CN"/>
        </w:rPr>
        <w:t>。</w:t>
      </w:r>
    </w:p>
    <w:p w14:paraId="138480C3">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②开展职业病危害因素监测企业数量权重3分，得分3分，未扣分。</w:t>
      </w:r>
    </w:p>
    <w:p w14:paraId="76BBDA2C">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下陆区按要求完成20家企业的职业病危害因素监测工作，同时对存在职业病危害超标因素的企业强化管理。此外，通过职业健康“双随机、一公开”督查26家涉危企业，责令整改17项问题、下达12份整改意见书且均已落实；同步推进尘肺病患者康复治理，随访建档211人、提供2537人次免费康复服务。监测企业数量达标，符合评价要求，该指标不扣分</w:t>
      </w:r>
      <w:r>
        <w:rPr>
          <w:rFonts w:hint="eastAsia" w:cs="仿宋"/>
          <w:highlight w:val="none"/>
          <w:lang w:val="en-US" w:eastAsia="zh-CN"/>
        </w:rPr>
        <w:t>。</w:t>
      </w:r>
    </w:p>
    <w:p w14:paraId="0B44F12F">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（4）优生优育与人口服务</w:t>
      </w:r>
    </w:p>
    <w:p w14:paraId="72E78B61">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①出生人口增长率权重3分，得分3分，未扣分。</w:t>
      </w:r>
    </w:p>
    <w:p w14:paraId="668F9CA7">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cs="仿宋"/>
          <w:highlight w:val="none"/>
          <w:lang w:val="en-US" w:eastAsia="zh-CN"/>
        </w:rPr>
        <w:t>2</w:t>
      </w:r>
      <w:r>
        <w:rPr>
          <w:rFonts w:hint="eastAsia" w:ascii="仿宋" w:hAnsi="仿宋" w:eastAsia="仿宋" w:cs="仿宋"/>
          <w:highlight w:val="none"/>
          <w:lang w:val="en-US" w:eastAsia="zh-CN"/>
        </w:rPr>
        <w:t>023年下陆区出生人口1632人，2024年增至1754人，出生人口增长率达7.475%。国家统计局数据显示，2024年全国出生人口增长率为5.76%。下陆区出生人口增长率高于全国平均水平，表明其在促进人口生育方面成效显著，符合评价要求，该指标不扣分。</w:t>
      </w:r>
    </w:p>
    <w:p w14:paraId="62D81CD4">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②普惠型托位增长率权重3分，得分3分，未扣分。</w:t>
      </w:r>
    </w:p>
    <w:p w14:paraId="77CAA1E2">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2023年，下陆区普惠托育（托幼）托位数量为290个；2024年通过鼓励幼儿园增设托育班、改扩建托育设施等举措，新增180个普惠型托位，普惠型托位增长率达62%。该增长率高于50%的评价标准，充分体现区域托育服务供给能力的提升，符合评价要求，该指标不扣分。</w:t>
      </w:r>
    </w:p>
    <w:p w14:paraId="7065D20A">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③新生儿出生“一件事”线上办成件数权重3分，得分3分，未扣分。</w:t>
      </w:r>
    </w:p>
    <w:p w14:paraId="5B397A41">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2024年下陆区新生儿出生“一件事”办理工作未达预期要求。根据实际统计，该事项已完成线上办理出生医学证明28件、线下联办事项7件，累计办理35件；但对照下陆区新生儿出生“一件事”试点工作方案设定的</w:t>
      </w:r>
      <w:r>
        <w:rPr>
          <w:rFonts w:hint="eastAsia" w:cs="仿宋"/>
          <w:highlight w:val="none"/>
          <w:lang w:val="en-US" w:eastAsia="zh-CN"/>
        </w:rPr>
        <w:t>办成</w:t>
      </w:r>
      <w:r>
        <w:rPr>
          <w:rFonts w:hint="eastAsia" w:ascii="仿宋" w:hAnsi="仿宋" w:eastAsia="仿宋" w:cs="仿宋"/>
          <w:highlight w:val="none"/>
          <w:lang w:val="en-US" w:eastAsia="zh-CN"/>
        </w:rPr>
        <w:t>80件目标任务，实际完成量与目标存在显著差距，未满足方案中关于办理任务的要求，试点工作推进成效需进一步提升。符合评价要求，该指标不扣分。</w:t>
      </w:r>
    </w:p>
    <w:p w14:paraId="21982E8D">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w:t>
      </w:r>
      <w:r>
        <w:rPr>
          <w:rFonts w:hint="eastAsia" w:cs="仿宋"/>
          <w:highlight w:val="none"/>
          <w:lang w:val="en-US" w:eastAsia="zh-CN"/>
        </w:rPr>
        <w:t>5</w:t>
      </w:r>
      <w:r>
        <w:rPr>
          <w:rFonts w:hint="eastAsia" w:ascii="仿宋" w:hAnsi="仿宋" w:eastAsia="仿宋" w:cs="仿宋"/>
          <w:highlight w:val="none"/>
          <w:lang w:val="en-US" w:eastAsia="zh-CN"/>
        </w:rPr>
        <w:t>）行业安全与应急管理</w:t>
      </w:r>
    </w:p>
    <w:p w14:paraId="51020313">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①打击非法行医专项行动人次权重2分，得分2分，未扣分。</w:t>
      </w:r>
    </w:p>
    <w:p w14:paraId="069644EF">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区卫健局联合市卫生监督执法局出动卫生监督员（含协管员）11人次。行动中查处1宗非法行医案件、取缔2件无证诊疗案，下达15份监督意见书，还开展普法活动。人次达标且执法成效扎实，完全符合评价要求，该指标不扣分。​</w:t>
      </w:r>
    </w:p>
    <w:p w14:paraId="767DC78B">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②召开安全生产专项整治工作会议次数权重2分，得分2分，未扣分。</w:t>
      </w:r>
    </w:p>
    <w:p w14:paraId="19570488">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下陆区结合系统安全风险与实际情况，围绕安全生产工作部署，组织召开安全生产专项整治工作会议6次。会议为“百日会战”“燃气领域”“治本攻坚”等系列专项整治工作提供统筹协调与推进指导，确保各项整治行动有序开展。会议召开次数达到评价要求，符合指标考核标准，该指标不扣分。</w:t>
      </w:r>
    </w:p>
    <w:p w14:paraId="583D7345">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③医疗卫生应急处理及时性权重2分，得分2分，未扣分。</w:t>
      </w:r>
    </w:p>
    <w:p w14:paraId="38B17B92">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区卫健局高效开展医疗卫生应急工作，全年处置预警信号1000余条，完成传染病个案流调90余例，同时及时处置5起聚集性疫情和3起疑似聚集性疫情，在疫情监测、溯源、处置各环节响应迅速、措施到位，有效保障区域公共卫生安全，医疗卫生应急处理及时性达到评价要求，该指标不扣分。</w:t>
      </w:r>
    </w:p>
    <w:p w14:paraId="01D39599">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④应急救护培训人数权重2分，得分2分，未扣分。</w:t>
      </w:r>
    </w:p>
    <w:p w14:paraId="6D63D2D6">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关于下达全市红十字系统2024年度核心业务指标的通知》，下陆区计划开展应急救护培训（取证）440人次。2024年实际开展培训（取证）561人次，超出计划人次，充分满足区域应急救护能力提升需求，达到评价要求，该指标不扣分。</w:t>
      </w:r>
    </w:p>
    <w:p w14:paraId="039F9C15">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⑤医疗废物规范处置率权重2分，不得分。</w:t>
      </w:r>
    </w:p>
    <w:p w14:paraId="35452CFB">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关于全区基层医疗机构医疗废物管理专项督查情况的通报》，在对辖区诊所类机构、社区卫生服务中心（站）及一级医院的医疗废物检查中发现，上述机构普遍存在医疗废物未按规定分类、未规范转运、相关记录不完整等问题，表明医疗废物规范处置工作存在明显短板，有待进一步加强。按照既定评分标准，本指标不符合要求，不得分。</w:t>
      </w:r>
    </w:p>
    <w:p w14:paraId="0905DA1E">
      <w:pPr>
        <w:pStyle w:val="4"/>
        <w:spacing w:before="0" w:after="0" w:line="560" w:lineRule="exact"/>
        <w:ind w:firstLine="632" w:firstLineChars="200"/>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4.社会效应分析</w:t>
      </w:r>
    </w:p>
    <w:p w14:paraId="408D5BFC">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评价人员从经济效益、社会效益、生态效益等三个方面进行了评价，</w:t>
      </w:r>
      <w:r>
        <w:rPr>
          <w:rFonts w:hint="eastAsia" w:ascii="仿宋" w:hAnsi="仿宋" w:eastAsia="仿宋" w:cs="仿宋"/>
          <w:kern w:val="2"/>
          <w:sz w:val="32"/>
          <w:szCs w:val="32"/>
          <w:highlight w:val="none"/>
          <w:lang w:val="en-US" w:eastAsia="zh-CN" w:bidi="zh-CN"/>
        </w:rPr>
        <w:t>社会效应</w:t>
      </w:r>
      <w:r>
        <w:rPr>
          <w:rFonts w:hint="eastAsia" w:cs="仿宋"/>
          <w:kern w:val="2"/>
          <w:sz w:val="32"/>
          <w:szCs w:val="32"/>
          <w:highlight w:val="none"/>
          <w:lang w:val="en-US" w:eastAsia="zh-CN" w:bidi="zh-CN"/>
        </w:rPr>
        <w:t>指标</w:t>
      </w:r>
      <w:r>
        <w:rPr>
          <w:rFonts w:hint="eastAsia" w:ascii="仿宋" w:hAnsi="仿宋" w:cs="Times New Roman"/>
          <w:bCs/>
          <w:kern w:val="0"/>
          <w:szCs w:val="32"/>
          <w:highlight w:val="none"/>
          <w:lang w:val="en-US" w:eastAsia="zh-CN"/>
        </w:rPr>
        <w:t>总分</w:t>
      </w:r>
      <w:r>
        <w:rPr>
          <w:rFonts w:hint="eastAsia" w:cs="Times New Roman"/>
          <w:bCs/>
          <w:kern w:val="0"/>
          <w:szCs w:val="32"/>
          <w:highlight w:val="none"/>
          <w:lang w:val="en-US" w:eastAsia="zh-CN"/>
        </w:rPr>
        <w:t>21</w:t>
      </w:r>
      <w:r>
        <w:rPr>
          <w:rFonts w:hint="eastAsia" w:ascii="仿宋" w:hAnsi="仿宋" w:cs="Times New Roman"/>
          <w:bCs/>
          <w:kern w:val="0"/>
          <w:szCs w:val="32"/>
          <w:highlight w:val="none"/>
          <w:lang w:val="en-US" w:eastAsia="zh-CN"/>
        </w:rPr>
        <w:t>分，实际得分</w:t>
      </w:r>
      <w:r>
        <w:rPr>
          <w:rFonts w:hint="eastAsia" w:cs="Times New Roman"/>
          <w:bCs/>
          <w:kern w:val="0"/>
          <w:szCs w:val="32"/>
          <w:highlight w:val="none"/>
          <w:lang w:val="en-US" w:eastAsia="zh-CN"/>
        </w:rPr>
        <w:t>21</w:t>
      </w:r>
      <w:r>
        <w:rPr>
          <w:rFonts w:hint="eastAsia" w:ascii="仿宋" w:hAnsi="仿宋" w:cs="Times New Roman"/>
          <w:bCs/>
          <w:kern w:val="0"/>
          <w:szCs w:val="32"/>
          <w:highlight w:val="none"/>
          <w:lang w:val="en-US" w:eastAsia="zh-CN"/>
        </w:rPr>
        <w:t>分</w:t>
      </w:r>
      <w:r>
        <w:rPr>
          <w:rFonts w:hint="eastAsia" w:cs="Times New Roman"/>
          <w:bCs/>
          <w:kern w:val="0"/>
          <w:szCs w:val="32"/>
          <w:highlight w:val="none"/>
          <w:lang w:val="en-US" w:eastAsia="zh-CN"/>
        </w:rPr>
        <w:t>，</w:t>
      </w:r>
      <w:r>
        <w:rPr>
          <w:rFonts w:hint="eastAsia" w:ascii="仿宋" w:hAnsi="仿宋" w:eastAsia="仿宋" w:cs="仿宋"/>
          <w:highlight w:val="none"/>
          <w:lang w:val="en-US" w:eastAsia="zh-CN"/>
        </w:rPr>
        <w:t>具体如下：</w:t>
      </w:r>
    </w:p>
    <w:p w14:paraId="0A0E9709">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（1）经济效益分析</w:t>
      </w:r>
    </w:p>
    <w:p w14:paraId="64B9FAB2">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①医疗资源配置合理性权重</w:t>
      </w:r>
      <w:r>
        <w:rPr>
          <w:rFonts w:hint="eastAsia" w:cs="仿宋"/>
          <w:highlight w:val="none"/>
          <w:lang w:val="en-US" w:eastAsia="zh-CN"/>
        </w:rPr>
        <w:t>3</w:t>
      </w:r>
      <w:r>
        <w:rPr>
          <w:rFonts w:hint="eastAsia" w:ascii="仿宋" w:hAnsi="仿宋" w:eastAsia="仿宋" w:cs="仿宋"/>
          <w:highlight w:val="none"/>
          <w:lang w:val="en-US" w:eastAsia="zh-CN"/>
        </w:rPr>
        <w:t>分，得分</w:t>
      </w:r>
      <w:r>
        <w:rPr>
          <w:rFonts w:hint="eastAsia" w:cs="仿宋"/>
          <w:highlight w:val="none"/>
          <w:lang w:val="en-US" w:eastAsia="zh-CN"/>
        </w:rPr>
        <w:t>3</w:t>
      </w:r>
      <w:r>
        <w:rPr>
          <w:rFonts w:hint="eastAsia" w:ascii="仿宋" w:hAnsi="仿宋" w:eastAsia="仿宋" w:cs="仿宋"/>
          <w:highlight w:val="none"/>
          <w:lang w:val="en-US" w:eastAsia="zh-CN"/>
        </w:rPr>
        <w:t>分，未扣分。</w:t>
      </w:r>
    </w:p>
    <w:p w14:paraId="0874E302">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下陆区卫健局结合辖区6个街道的人口分布、老龄化趋势及慢性病多发的实际情况优化资源布局，按“步行15分钟就医圈”实现社区卫生服务站点全覆盖，在人口密集区域额外增设站点消除服务空白。区人民医院重点强化慢性病与儿科诊疗能力，基层医疗机构常用诊疗设备高效运转；同时组织区级医院骨干医生下沉社区，家庭医生签约服务广泛覆盖，尤其重点人群服务保障到位，资源分配精准匹配居民就医需求，无闲置或短缺问题。医疗资源配置合理</w:t>
      </w:r>
      <w:r>
        <w:rPr>
          <w:rFonts w:hint="eastAsia" w:cs="仿宋"/>
          <w:highlight w:val="none"/>
          <w:lang w:val="en-US" w:eastAsia="zh-CN"/>
        </w:rPr>
        <w:t>，达到评价要求，该指标不扣分。</w:t>
      </w:r>
    </w:p>
    <w:p w14:paraId="16012123">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②医保基金使用合规性与效益导向权重3分，得分3分，未扣分。</w:t>
      </w:r>
    </w:p>
    <w:p w14:paraId="21B47054">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下陆区卫健局全年常态化开展医保基金监管检查，借助智能手段及时拦截违规报销行为，对违规机构严格查处并督促整改，切实守住基金安全底线。在提升基金使用效益方面，提高基层门诊医保报销比例，引导更多居民选择社区就医，减少跨级就医的基金消耗；针对慢性病患者落实长处方政策，减轻基金重复支出压力，同时将大病纳入重点保障范围，显著降低患者医疗负担，充分发挥医保基金“保基本、兜底线”的民生作用。医保基金使用合规性与效益导向</w:t>
      </w:r>
      <w:r>
        <w:rPr>
          <w:rFonts w:hint="eastAsia" w:cs="仿宋"/>
          <w:highlight w:val="none"/>
          <w:lang w:val="en-US" w:eastAsia="zh-CN"/>
        </w:rPr>
        <w:t>良好，达到评价要求，该指标不扣分。</w:t>
      </w:r>
      <w:r>
        <w:rPr>
          <w:rFonts w:hint="eastAsia" w:ascii="仿宋" w:hAnsi="仿宋" w:eastAsia="仿宋" w:cs="仿宋"/>
          <w:highlight w:val="none"/>
          <w:lang w:val="en-US" w:eastAsia="zh-CN"/>
        </w:rPr>
        <w:t>​</w:t>
      </w:r>
    </w:p>
    <w:p w14:paraId="00C1D700">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③公共卫生投入的经济价值转化效果权重3分，得分3分，未扣分。</w:t>
      </w:r>
    </w:p>
    <w:p w14:paraId="2E33BA2E">
      <w:pPr>
        <w:pStyle w:val="8"/>
        <w:overflowPunct w:val="0"/>
        <w:autoSpaceDE w:val="0"/>
        <w:autoSpaceDN w:val="0"/>
        <w:spacing w:line="560" w:lineRule="exact"/>
        <w:ind w:firstLine="474" w:firstLineChars="15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下陆区卫健局在公共卫生领域的投入切实转化为民生效益与经济价值：通过慢性病防控行动，提升慢性病管理水平，减少患者反复住院带来的医疗开支；加大疫苗接种投入，有效降低流感等疾病发生率，减少因患病导致的劳动力缺勤与额外医疗支出；开展老年人免费体检，及时发现健康风险并早期干预，避免小病拖成大病的高额治疗成本，长期来看既减轻居民负担，也为区域节省医疗资源投入。公共卫生投入的经济价值转化效果</w:t>
      </w:r>
      <w:r>
        <w:rPr>
          <w:rFonts w:hint="eastAsia" w:cs="仿宋"/>
          <w:highlight w:val="none"/>
          <w:lang w:val="en-US" w:eastAsia="zh-CN"/>
        </w:rPr>
        <w:t>良好，</w:t>
      </w:r>
      <w:r>
        <w:rPr>
          <w:rFonts w:hint="eastAsia" w:ascii="仿宋" w:hAnsi="仿宋" w:eastAsia="仿宋" w:cs="仿宋"/>
          <w:highlight w:val="none"/>
          <w:lang w:val="en-US" w:eastAsia="zh-CN"/>
        </w:rPr>
        <w:t>达到评价要求，该指标不扣分。​</w:t>
      </w:r>
    </w:p>
    <w:p w14:paraId="1F71B107">
      <w:pPr>
        <w:pStyle w:val="8"/>
        <w:overflowPunct w:val="0"/>
        <w:autoSpaceDE w:val="0"/>
        <w:autoSpaceDN w:val="0"/>
        <w:spacing w:line="560" w:lineRule="exact"/>
        <w:ind w:firstLine="474" w:firstLineChars="15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（2）社会效益分析</w:t>
      </w:r>
    </w:p>
    <w:p w14:paraId="67A11DF3">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①检查整治整改率权重</w:t>
      </w:r>
      <w:r>
        <w:rPr>
          <w:rFonts w:hint="eastAsia" w:cs="仿宋"/>
          <w:highlight w:val="none"/>
          <w:lang w:val="en-US" w:eastAsia="zh-CN"/>
        </w:rPr>
        <w:t>4</w:t>
      </w:r>
      <w:r>
        <w:rPr>
          <w:rFonts w:hint="eastAsia" w:ascii="仿宋" w:hAnsi="仿宋" w:eastAsia="仿宋" w:cs="仿宋"/>
          <w:highlight w:val="none"/>
          <w:lang w:val="en-US" w:eastAsia="zh-CN"/>
        </w:rPr>
        <w:t>分，得分</w:t>
      </w:r>
      <w:r>
        <w:rPr>
          <w:rFonts w:hint="eastAsia" w:cs="仿宋"/>
          <w:highlight w:val="none"/>
          <w:lang w:val="en-US" w:eastAsia="zh-CN"/>
        </w:rPr>
        <w:t>4</w:t>
      </w:r>
      <w:r>
        <w:rPr>
          <w:rFonts w:hint="eastAsia" w:ascii="仿宋" w:hAnsi="仿宋" w:eastAsia="仿宋" w:cs="仿宋"/>
          <w:highlight w:val="none"/>
          <w:lang w:val="en-US" w:eastAsia="zh-CN"/>
        </w:rPr>
        <w:t>分，未扣分。</w:t>
      </w:r>
    </w:p>
    <w:p w14:paraId="2B06ED43">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cs="仿宋"/>
          <w:highlight w:val="none"/>
          <w:lang w:val="en-US" w:eastAsia="zh-CN"/>
        </w:rPr>
        <w:t>2024年，区卫健局围绕医疗机构依法执业、公共场所卫生等重点领域开展集中检查整治，过程中发现部分机构存在医疗废物处置不规范、人员配置不规范、平安医院建设落实不到位、从业人员健康证过期等问题共109个。对发现的问题均现场反馈，并下达整改意见书跟踪复查，最终整改完成率达100%。检查整治整改率满足评价要求，该指标不扣分</w:t>
      </w:r>
      <w:r>
        <w:rPr>
          <w:rFonts w:hint="eastAsia" w:ascii="仿宋" w:hAnsi="仿宋" w:eastAsia="仿宋" w:cs="仿宋"/>
          <w:highlight w:val="none"/>
          <w:lang w:val="en-US" w:eastAsia="zh-CN"/>
        </w:rPr>
        <w:t>。</w:t>
      </w:r>
    </w:p>
    <w:p w14:paraId="43C8F217">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②基层卫生服务体系和公共卫生应急能力权重</w:t>
      </w:r>
      <w:r>
        <w:rPr>
          <w:rFonts w:hint="eastAsia" w:cs="仿宋"/>
          <w:highlight w:val="none"/>
          <w:lang w:val="en-US" w:eastAsia="zh-CN"/>
        </w:rPr>
        <w:t>4</w:t>
      </w:r>
      <w:r>
        <w:rPr>
          <w:rFonts w:hint="eastAsia" w:ascii="仿宋" w:hAnsi="仿宋" w:eastAsia="仿宋" w:cs="仿宋"/>
          <w:highlight w:val="none"/>
          <w:lang w:val="en-US" w:eastAsia="zh-CN"/>
        </w:rPr>
        <w:t>分，得分</w:t>
      </w:r>
      <w:r>
        <w:rPr>
          <w:rFonts w:hint="eastAsia" w:cs="仿宋"/>
          <w:highlight w:val="none"/>
          <w:lang w:val="en-US" w:eastAsia="zh-CN"/>
        </w:rPr>
        <w:t>4</w:t>
      </w:r>
      <w:r>
        <w:rPr>
          <w:rFonts w:hint="eastAsia" w:ascii="仿宋" w:hAnsi="仿宋" w:eastAsia="仿宋" w:cs="仿宋"/>
          <w:highlight w:val="none"/>
          <w:lang w:val="en-US" w:eastAsia="zh-CN"/>
        </w:rPr>
        <w:t>分，未扣分。</w:t>
      </w:r>
    </w:p>
    <w:p w14:paraId="39429A2F">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卫健局通过多维度履职，显著提升基层卫生服务体系效能与公共卫生应急能力：一方面，加快推进公卫与医疗信息平台数据互通，全面推广一体化基层医疗卫生云系统，实现基本公共卫生、签约服务、HIS系统等居民健康信息资源互通，打破数据壁垒，助力基层医疗机构高效调取健康数据以提升诊疗与公卫服务精准度，同时加强基层中医药特色专长建设，2024年举办2期中医适宜技术培训班，丰富基层医疗服务内容、强化基层医疗机构服务能力；另一方面，及时监测处置各类传染病，2024年上半年处置743条预警信号（含4条红色、106条橙色等高等级预警），完成88例传染病个案流调（含79例百日咳等重点病例），还妥善处置3起学校聚集性疫情、2起小学疑似疫情及多起登革热相关调查，实现传染病“早预警、早处置”，有效防范疫情扩散，保障区域公共卫生安全。</w:t>
      </w:r>
    </w:p>
    <w:p w14:paraId="149ED0F5">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cs="仿宋"/>
          <w:highlight w:val="none"/>
          <w:lang w:val="en-US" w:eastAsia="zh-CN"/>
        </w:rPr>
        <w:t>在促进</w:t>
      </w:r>
      <w:r>
        <w:rPr>
          <w:rFonts w:hint="eastAsia" w:ascii="仿宋" w:hAnsi="仿宋" w:eastAsia="仿宋" w:cs="仿宋"/>
          <w:highlight w:val="none"/>
          <w:lang w:val="en-US" w:eastAsia="zh-CN"/>
        </w:rPr>
        <w:t>基层卫生服务体系和公共卫生应急能力</w:t>
      </w:r>
      <w:r>
        <w:rPr>
          <w:rFonts w:hint="eastAsia" w:cs="仿宋"/>
          <w:highlight w:val="none"/>
          <w:lang w:val="en-US" w:eastAsia="zh-CN"/>
        </w:rPr>
        <w:t>提升方面</w:t>
      </w:r>
      <w:r>
        <w:rPr>
          <w:rFonts w:hint="eastAsia" w:ascii="仿宋" w:hAnsi="仿宋" w:eastAsia="仿宋" w:cs="仿宋"/>
          <w:highlight w:val="none"/>
          <w:lang w:val="en-US" w:eastAsia="zh-CN"/>
        </w:rPr>
        <w:t>达到评价要求，该指标不扣分。​</w:t>
      </w:r>
    </w:p>
    <w:p w14:paraId="2659F447">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（3）生态效益分析</w:t>
      </w:r>
    </w:p>
    <w:p w14:paraId="63FD0DD9">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①医疗卫生条件权重</w:t>
      </w:r>
      <w:r>
        <w:rPr>
          <w:rFonts w:hint="eastAsia" w:cs="仿宋"/>
          <w:highlight w:val="none"/>
          <w:lang w:val="en-US" w:eastAsia="zh-CN"/>
        </w:rPr>
        <w:t>4</w:t>
      </w:r>
      <w:r>
        <w:rPr>
          <w:rFonts w:hint="eastAsia" w:ascii="仿宋" w:hAnsi="仿宋" w:eastAsia="仿宋" w:cs="仿宋"/>
          <w:highlight w:val="none"/>
          <w:lang w:val="en-US" w:eastAsia="zh-CN"/>
        </w:rPr>
        <w:t>分，得分</w:t>
      </w:r>
      <w:r>
        <w:rPr>
          <w:rFonts w:hint="eastAsia" w:cs="仿宋"/>
          <w:highlight w:val="none"/>
          <w:lang w:val="en-US" w:eastAsia="zh-CN"/>
        </w:rPr>
        <w:t>4</w:t>
      </w:r>
      <w:r>
        <w:rPr>
          <w:rFonts w:hint="eastAsia" w:ascii="仿宋" w:hAnsi="仿宋" w:eastAsia="仿宋" w:cs="仿宋"/>
          <w:highlight w:val="none"/>
          <w:lang w:val="en-US" w:eastAsia="zh-CN"/>
        </w:rPr>
        <w:t>分，未扣分。</w:t>
      </w:r>
    </w:p>
    <w:p w14:paraId="69A295FC">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下陆区卫健局在发展医疗卫生条件方面带来诸多生态效益。新建青龙山、卫王社区卫生服务站，完善“15分钟医疗卫生服务圈”。推进爱国卫生运动，整治环境卫生、开展病媒生物防治，改善区域生态环境，降低疾病传播风险，助力打造健康宜居生态。在</w:t>
      </w:r>
      <w:r>
        <w:rPr>
          <w:rFonts w:hint="eastAsia" w:cs="仿宋"/>
          <w:highlight w:val="none"/>
          <w:lang w:val="en-US" w:eastAsia="zh-CN"/>
        </w:rPr>
        <w:t>改善</w:t>
      </w:r>
      <w:r>
        <w:rPr>
          <w:rFonts w:hint="eastAsia" w:ascii="仿宋" w:hAnsi="仿宋" w:eastAsia="仿宋" w:cs="仿宋"/>
          <w:highlight w:val="none"/>
          <w:lang w:val="en-US" w:eastAsia="zh-CN"/>
        </w:rPr>
        <w:t>医疗卫生条件方面达到评价要求，该指标不扣分。</w:t>
      </w:r>
    </w:p>
    <w:p w14:paraId="79E9B869">
      <w:pPr>
        <w:pStyle w:val="4"/>
        <w:spacing w:before="0" w:after="0" w:line="560" w:lineRule="exact"/>
        <w:ind w:firstLine="632" w:firstLineChars="200"/>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5.可持续发展能力分析</w:t>
      </w:r>
    </w:p>
    <w:p w14:paraId="16547A93">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评价人员从体制机制改革、人才支撑、科技支撑等三个方面进行了评价，</w:t>
      </w:r>
      <w:r>
        <w:rPr>
          <w:rFonts w:hint="eastAsia" w:ascii="仿宋" w:hAnsi="仿宋" w:eastAsia="仿宋" w:cs="仿宋"/>
          <w:kern w:val="2"/>
          <w:sz w:val="32"/>
          <w:szCs w:val="32"/>
          <w:highlight w:val="none"/>
          <w:lang w:val="en-US" w:eastAsia="zh-CN" w:bidi="zh-CN"/>
        </w:rPr>
        <w:t>可持续发展能力</w:t>
      </w:r>
      <w:r>
        <w:rPr>
          <w:rFonts w:hint="eastAsia" w:cs="仿宋"/>
          <w:kern w:val="2"/>
          <w:sz w:val="32"/>
          <w:szCs w:val="32"/>
          <w:highlight w:val="none"/>
          <w:lang w:val="en-US" w:eastAsia="zh-CN" w:bidi="zh-CN"/>
        </w:rPr>
        <w:t>指标</w:t>
      </w:r>
      <w:r>
        <w:rPr>
          <w:rFonts w:hint="eastAsia" w:ascii="仿宋" w:hAnsi="仿宋" w:cs="Times New Roman"/>
          <w:bCs/>
          <w:kern w:val="0"/>
          <w:szCs w:val="32"/>
          <w:highlight w:val="none"/>
          <w:lang w:val="en-US" w:eastAsia="zh-CN"/>
        </w:rPr>
        <w:t>总分</w:t>
      </w:r>
      <w:r>
        <w:rPr>
          <w:rFonts w:hint="eastAsia" w:cs="Times New Roman"/>
          <w:bCs/>
          <w:kern w:val="0"/>
          <w:szCs w:val="32"/>
          <w:highlight w:val="none"/>
          <w:lang w:val="en-US" w:eastAsia="zh-CN"/>
        </w:rPr>
        <w:t>7</w:t>
      </w:r>
      <w:r>
        <w:rPr>
          <w:rFonts w:hint="eastAsia" w:ascii="仿宋" w:hAnsi="仿宋" w:cs="Times New Roman"/>
          <w:bCs/>
          <w:kern w:val="0"/>
          <w:szCs w:val="32"/>
          <w:highlight w:val="none"/>
          <w:lang w:val="en-US" w:eastAsia="zh-CN"/>
        </w:rPr>
        <w:t>分，实际得分</w:t>
      </w:r>
      <w:r>
        <w:rPr>
          <w:rFonts w:hint="eastAsia" w:cs="Times New Roman"/>
          <w:bCs/>
          <w:kern w:val="0"/>
          <w:szCs w:val="32"/>
          <w:highlight w:val="none"/>
          <w:lang w:val="en-US" w:eastAsia="zh-CN"/>
        </w:rPr>
        <w:t>6.5</w:t>
      </w:r>
      <w:r>
        <w:rPr>
          <w:rFonts w:hint="eastAsia" w:ascii="仿宋" w:hAnsi="仿宋" w:cs="Times New Roman"/>
          <w:bCs/>
          <w:kern w:val="0"/>
          <w:szCs w:val="32"/>
          <w:highlight w:val="none"/>
          <w:lang w:val="en-US" w:eastAsia="zh-CN"/>
        </w:rPr>
        <w:t>分</w:t>
      </w:r>
      <w:r>
        <w:rPr>
          <w:rFonts w:hint="eastAsia" w:cs="Times New Roman"/>
          <w:bCs/>
          <w:kern w:val="0"/>
          <w:szCs w:val="32"/>
          <w:highlight w:val="none"/>
          <w:lang w:val="en-US" w:eastAsia="zh-CN"/>
        </w:rPr>
        <w:t>，</w:t>
      </w:r>
      <w:r>
        <w:rPr>
          <w:rFonts w:hint="eastAsia" w:ascii="仿宋" w:hAnsi="仿宋" w:eastAsia="仿宋" w:cs="仿宋"/>
          <w:highlight w:val="none"/>
          <w:lang w:val="en-US" w:eastAsia="zh-CN"/>
        </w:rPr>
        <w:t>具体如下：</w:t>
      </w:r>
    </w:p>
    <w:p w14:paraId="41EF1891">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（1）体制机制改革分析</w:t>
      </w:r>
    </w:p>
    <w:p w14:paraId="0C8E513D">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①服务体制改革成效权重1分，得分1分，未扣分。</w:t>
      </w:r>
    </w:p>
    <w:p w14:paraId="7BA107F4">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cs="仿宋"/>
          <w:highlight w:val="none"/>
          <w:lang w:val="en-US" w:eastAsia="zh-CN"/>
        </w:rPr>
        <w:t>2024年</w:t>
      </w:r>
      <w:r>
        <w:rPr>
          <w:rFonts w:hint="eastAsia" w:ascii="仿宋" w:hAnsi="仿宋" w:eastAsia="仿宋" w:cs="仿宋"/>
          <w:highlight w:val="none"/>
          <w:lang w:val="en-US" w:eastAsia="zh-CN"/>
        </w:rPr>
        <w:t>区卫健局</w:t>
      </w:r>
      <w:r>
        <w:rPr>
          <w:rFonts w:hint="eastAsia" w:cs="仿宋"/>
          <w:highlight w:val="none"/>
          <w:lang w:val="en-US" w:eastAsia="zh-CN"/>
        </w:rPr>
        <w:t>持续</w:t>
      </w:r>
      <w:r>
        <w:rPr>
          <w:rFonts w:hint="eastAsia" w:ascii="仿宋" w:hAnsi="仿宋" w:eastAsia="仿宋" w:cs="仿宋"/>
          <w:highlight w:val="none"/>
          <w:lang w:val="en-US" w:eastAsia="zh-CN"/>
        </w:rPr>
        <w:t>推进服务型政府建设，联合区疾控中心督导基层医疗机构，提升检查专业性，保障公共卫生服务效果；推广云诊所系统，76家个体诊所使用，优化服务市场；开展爱国卫生运动，动员社会力量参与环境整治、科普宣传等，推动部门服务社会化。服务体制改革成效达到评价要求，该指标不扣分。</w:t>
      </w:r>
    </w:p>
    <w:p w14:paraId="0DDC23A1">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②行政管理体制改革成效权重1分，得分1分，未扣分。</w:t>
      </w:r>
    </w:p>
    <w:p w14:paraId="514F96F4">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cs="仿宋"/>
          <w:highlight w:val="none"/>
          <w:lang w:val="en-US" w:eastAsia="zh-CN"/>
        </w:rPr>
        <w:t>2024区卫健局</w:t>
      </w:r>
      <w:r>
        <w:rPr>
          <w:rFonts w:hint="eastAsia" w:ascii="仿宋" w:hAnsi="仿宋" w:eastAsia="仿宋" w:cs="仿宋"/>
          <w:highlight w:val="none"/>
          <w:lang w:val="en-US" w:eastAsia="zh-CN"/>
        </w:rPr>
        <w:t>制定</w:t>
      </w:r>
      <w:r>
        <w:rPr>
          <w:rFonts w:hint="eastAsia" w:cs="仿宋"/>
          <w:highlight w:val="none"/>
          <w:lang w:val="en-US" w:eastAsia="zh-CN"/>
        </w:rPr>
        <w:t>了</w:t>
      </w:r>
      <w:r>
        <w:rPr>
          <w:rFonts w:hint="eastAsia" w:ascii="仿宋" w:hAnsi="仿宋" w:eastAsia="仿宋" w:cs="仿宋"/>
          <w:highlight w:val="none"/>
          <w:lang w:val="en-US" w:eastAsia="zh-CN"/>
        </w:rPr>
        <w:t>《下陆区基层医疗卫生机构综合目标考核办法》，明确基层机构事权与激励责任，强化政策保障，促进人员积极性；通过规范督导、信息化建设等，推动职能、责任法定化，提升行政管理规范化水平。行政管理体制改革成效达到评价要求，该指标不扣分</w:t>
      </w:r>
      <w:r>
        <w:rPr>
          <w:rFonts w:hint="eastAsia" w:cs="仿宋"/>
          <w:highlight w:val="none"/>
          <w:lang w:val="en-US" w:eastAsia="zh-CN"/>
        </w:rPr>
        <w:t>。</w:t>
      </w:r>
    </w:p>
    <w:p w14:paraId="755EE2B5">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（2）人才支撑分析</w:t>
      </w:r>
    </w:p>
    <w:p w14:paraId="542C3250">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①业务学习与培训完成率权重1分，得分1分，未扣分。</w:t>
      </w:r>
    </w:p>
    <w:p w14:paraId="78700F89">
      <w:pPr>
        <w:pStyle w:val="8"/>
        <w:overflowPunct w:val="0"/>
        <w:autoSpaceDE w:val="0"/>
        <w:autoSpaceDN w:val="0"/>
        <w:spacing w:line="560" w:lineRule="exact"/>
        <w:ind w:firstLine="630"/>
        <w:jc w:val="left"/>
        <w:rPr>
          <w:rFonts w:hint="eastAsia" w:cs="仿宋"/>
          <w:highlight w:val="none"/>
          <w:lang w:val="en-US" w:eastAsia="zh-CN"/>
        </w:rPr>
      </w:pPr>
      <w:r>
        <w:rPr>
          <w:rFonts w:hint="eastAsia" w:ascii="仿宋" w:hAnsi="仿宋" w:eastAsia="仿宋" w:cs="仿宋"/>
          <w:highlight w:val="none"/>
          <w:lang w:val="en-US" w:eastAsia="zh-CN"/>
        </w:rPr>
        <w:t>区卫健局围绕人才能力提升推进多项培训，实际完成基层公卫人才专题培训（覆盖公卫分管领导、科长）、抗菌药物使用暨麻精药品管理培训（100余位基层医师药师参与），还依托医联体开展专家巡诊查房、科室共建带教等实操培训，</w:t>
      </w:r>
      <w:r>
        <w:rPr>
          <w:rFonts w:hint="eastAsia" w:cs="仿宋"/>
          <w:highlight w:val="none"/>
          <w:lang w:val="en-US" w:eastAsia="zh-CN"/>
        </w:rPr>
        <w:t>均按照计划实际完成业务学习与培训任务，业务学习与培训完成率100%</w:t>
      </w:r>
      <w:r>
        <w:rPr>
          <w:rFonts w:hint="eastAsia" w:ascii="仿宋" w:hAnsi="仿宋" w:eastAsia="仿宋" w:cs="仿宋"/>
          <w:highlight w:val="none"/>
          <w:lang w:val="en-US" w:eastAsia="zh-CN"/>
        </w:rPr>
        <w:t>，保障人才业务能力提升</w:t>
      </w:r>
      <w:r>
        <w:rPr>
          <w:rFonts w:hint="eastAsia" w:cs="仿宋"/>
          <w:highlight w:val="none"/>
          <w:lang w:val="en-US" w:eastAsia="zh-CN"/>
        </w:rPr>
        <w:t>。达到评价要求，该指标不扣分。</w:t>
      </w:r>
    </w:p>
    <w:p w14:paraId="2A179E43">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②干部队伍体系建设规划情况权重1分，得分1分，未扣分。</w:t>
      </w:r>
    </w:p>
    <w:p w14:paraId="671F3A97">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卫健局人才队伍建设有科学制度支撑，通过专题培训、专业技术培训针对性提升不同岗位人才能力；依托医联体与三甲医院合作，从基层公卫、临床用药到特色科室建设布局人才培养，符合基层医疗发展需求，形成合</w:t>
      </w:r>
      <w:r>
        <w:rPr>
          <w:rFonts w:hint="eastAsia" w:cs="仿宋"/>
          <w:highlight w:val="none"/>
          <w:lang w:val="en-US" w:eastAsia="zh-CN"/>
        </w:rPr>
        <w:t>理的</w:t>
      </w:r>
      <w:r>
        <w:rPr>
          <w:rFonts w:hint="eastAsia" w:ascii="仿宋" w:hAnsi="仿宋" w:eastAsia="仿宋" w:cs="仿宋"/>
          <w:highlight w:val="none"/>
          <w:lang w:val="en-US" w:eastAsia="zh-CN"/>
        </w:rPr>
        <w:t>人才储备规划，助力干部队伍体系完善。达到评价要求，该指标不扣分。</w:t>
      </w:r>
    </w:p>
    <w:p w14:paraId="3417B349">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③高学历、高层次人才储备率权重1分，得分</w:t>
      </w:r>
      <w:r>
        <w:rPr>
          <w:rFonts w:hint="eastAsia" w:cs="仿宋"/>
          <w:highlight w:val="none"/>
          <w:lang w:val="en-US" w:eastAsia="zh-CN"/>
        </w:rPr>
        <w:t>0.5</w:t>
      </w:r>
      <w:r>
        <w:rPr>
          <w:rFonts w:hint="eastAsia" w:ascii="仿宋" w:hAnsi="仿宋" w:eastAsia="仿宋" w:cs="仿宋"/>
          <w:highlight w:val="none"/>
          <w:lang w:val="en-US" w:eastAsia="zh-CN"/>
        </w:rPr>
        <w:t>分，扣</w:t>
      </w:r>
      <w:r>
        <w:rPr>
          <w:rFonts w:hint="eastAsia" w:cs="仿宋"/>
          <w:highlight w:val="none"/>
          <w:lang w:val="en-US" w:eastAsia="zh-CN"/>
        </w:rPr>
        <w:t>0.5</w:t>
      </w:r>
      <w:r>
        <w:rPr>
          <w:rFonts w:hint="eastAsia" w:ascii="仿宋" w:hAnsi="仿宋" w:eastAsia="仿宋" w:cs="仿宋"/>
          <w:highlight w:val="none"/>
          <w:lang w:val="en-US" w:eastAsia="zh-CN"/>
        </w:rPr>
        <w:t>分。</w:t>
      </w:r>
    </w:p>
    <w:p w14:paraId="0C45B7BD">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目前区</w:t>
      </w:r>
      <w:r>
        <w:rPr>
          <w:rFonts w:hint="eastAsia" w:cs="仿宋"/>
          <w:highlight w:val="none"/>
          <w:lang w:val="en-US" w:eastAsia="zh-CN"/>
        </w:rPr>
        <w:t>卫健局</w:t>
      </w:r>
      <w:r>
        <w:rPr>
          <w:rFonts w:hint="eastAsia" w:ascii="仿宋" w:hAnsi="仿宋" w:eastAsia="仿宋" w:cs="仿宋"/>
          <w:highlight w:val="none"/>
          <w:lang w:val="en-US" w:eastAsia="zh-CN"/>
        </w:rPr>
        <w:t>重视人才储备与引进，鼓励现有干部提升学历。但在高层次人才储备上存在短板，队伍中</w:t>
      </w:r>
      <w:r>
        <w:rPr>
          <w:rFonts w:hint="eastAsia" w:cs="仿宋"/>
          <w:highlight w:val="none"/>
          <w:lang w:val="en-US" w:eastAsia="zh-CN"/>
        </w:rPr>
        <w:t>仅有2名人员具有研究生学历或副高职称</w:t>
      </w:r>
      <w:r>
        <w:rPr>
          <w:rFonts w:hint="eastAsia" w:ascii="仿宋" w:hAnsi="仿宋" w:eastAsia="仿宋" w:cs="仿宋"/>
          <w:highlight w:val="none"/>
          <w:lang w:val="en-US" w:eastAsia="zh-CN"/>
        </w:rPr>
        <w:t>，硕士、博士等高学历人才数量不足，高学历人才储备未能满足发展需求。综合来看，此项工作存在薄弱环节，扣0.5分。</w:t>
      </w:r>
    </w:p>
    <w:p w14:paraId="69A67452">
      <w:pPr>
        <w:pStyle w:val="8"/>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（3）科技支撑分析</w:t>
      </w:r>
    </w:p>
    <w:p w14:paraId="31C96381">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①信息化建设情况权重1分，得分1分，未扣分。</w:t>
      </w:r>
    </w:p>
    <w:p w14:paraId="15FB0D0E">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卫健局积极运用信息化手段提升工作效率与管理效能。在公卫、医疗信息平台数据互通方面，全面推广一体化基层医疗卫生云系统，实现基本公共卫生、签约服务、HIS系统、健康一体机等各类居民健康信息资源全面联通，打破信息孤岛，方便基层医疗卫生机构快速获取居民健康信息，提升诊疗与公共卫生服务效率。全面推进云诊所信息化建设，目前已有76家个体诊所使用云诊所信息化系统，优化了个体诊所的诊疗流程，提高了管理效率，方便诊所对患者信息进行存储、查询与分析，也便于卫生管理部门监管，极大提升了医疗行业整体管理效能。达到评价要求，该指标不扣分。</w:t>
      </w:r>
    </w:p>
    <w:p w14:paraId="5B30869C">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②科技赋能服务权重1分，得分1分，未扣分。</w:t>
      </w:r>
    </w:p>
    <w:p w14:paraId="6FA8F52C">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在为相关单位和个人提供服务上，信息化手段发挥了关键作用。通过一体化基层医疗卫生云系统，居民在享受签约服务、基本公共卫生服务时，各项信息能实时更新、共享，服务更加精准、高效，提升了居民就医体验。如居民使用健康一体机进行体检，数据可直接上传至云系统，方便医疗机构及时了解居民健康状况，为居民提供个性化健康指导。在传染病监测处置中，依托信息化系统，上半年高效处置743条预警信号，完成88例传染病个案流调，迅速阻断疫情传播，保障公众健康安全。此外，在爱国卫生运动的健康科普宣传环节，也借助信息化手段，通过线上渠道扩大宣传覆盖面，提升公众健康意识</w:t>
      </w:r>
      <w:r>
        <w:rPr>
          <w:rFonts w:hint="eastAsia" w:cs="仿宋"/>
          <w:highlight w:val="none"/>
          <w:lang w:val="en-US" w:eastAsia="zh-CN"/>
        </w:rPr>
        <w:t>。</w:t>
      </w:r>
      <w:r>
        <w:rPr>
          <w:rFonts w:hint="eastAsia" w:ascii="仿宋" w:hAnsi="仿宋" w:eastAsia="仿宋" w:cs="仿宋"/>
          <w:highlight w:val="none"/>
          <w:lang w:val="en-US" w:eastAsia="zh-CN"/>
        </w:rPr>
        <w:t>达到评价要求，该指标不扣分。</w:t>
      </w:r>
    </w:p>
    <w:p w14:paraId="3FD28568">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6.满意度分析</w:t>
      </w:r>
    </w:p>
    <w:p w14:paraId="0A54BA54">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评价人员从服务对象满意度进行了评价，</w:t>
      </w:r>
      <w:r>
        <w:rPr>
          <w:rFonts w:hint="eastAsia" w:ascii="仿宋" w:hAnsi="仿宋" w:eastAsia="仿宋" w:cs="仿宋"/>
          <w:kern w:val="2"/>
          <w:sz w:val="32"/>
          <w:szCs w:val="32"/>
          <w:highlight w:val="none"/>
          <w:lang w:val="en-US" w:eastAsia="zh-CN" w:bidi="zh-CN"/>
        </w:rPr>
        <w:t>满意度</w:t>
      </w:r>
      <w:r>
        <w:rPr>
          <w:rFonts w:hint="eastAsia" w:cs="仿宋"/>
          <w:kern w:val="2"/>
          <w:sz w:val="32"/>
          <w:szCs w:val="32"/>
          <w:highlight w:val="none"/>
          <w:lang w:val="en-US" w:eastAsia="zh-CN" w:bidi="zh-CN"/>
        </w:rPr>
        <w:t>指标</w:t>
      </w:r>
      <w:r>
        <w:rPr>
          <w:rFonts w:hint="eastAsia" w:ascii="仿宋" w:hAnsi="仿宋" w:cs="Times New Roman"/>
          <w:bCs/>
          <w:kern w:val="0"/>
          <w:szCs w:val="32"/>
          <w:highlight w:val="none"/>
          <w:lang w:val="en-US" w:eastAsia="zh-CN"/>
        </w:rPr>
        <w:t>总分</w:t>
      </w:r>
      <w:r>
        <w:rPr>
          <w:rFonts w:hint="eastAsia" w:cs="Times New Roman"/>
          <w:bCs/>
          <w:kern w:val="0"/>
          <w:szCs w:val="32"/>
          <w:highlight w:val="none"/>
          <w:lang w:val="en-US" w:eastAsia="zh-CN"/>
        </w:rPr>
        <w:t>5</w:t>
      </w:r>
      <w:r>
        <w:rPr>
          <w:rFonts w:hint="eastAsia" w:ascii="仿宋" w:hAnsi="仿宋" w:cs="Times New Roman"/>
          <w:bCs/>
          <w:kern w:val="0"/>
          <w:szCs w:val="32"/>
          <w:highlight w:val="none"/>
          <w:lang w:val="en-US" w:eastAsia="zh-CN"/>
        </w:rPr>
        <w:t>分，实际得分</w:t>
      </w:r>
      <w:r>
        <w:rPr>
          <w:rFonts w:hint="eastAsia" w:cs="Times New Roman"/>
          <w:bCs/>
          <w:kern w:val="0"/>
          <w:szCs w:val="32"/>
          <w:highlight w:val="none"/>
          <w:lang w:val="en-US" w:eastAsia="zh-CN"/>
        </w:rPr>
        <w:t>5</w:t>
      </w:r>
      <w:r>
        <w:rPr>
          <w:rFonts w:hint="eastAsia" w:ascii="仿宋" w:hAnsi="仿宋" w:cs="Times New Roman"/>
          <w:bCs/>
          <w:kern w:val="0"/>
          <w:szCs w:val="32"/>
          <w:highlight w:val="none"/>
          <w:lang w:val="en-US" w:eastAsia="zh-CN"/>
        </w:rPr>
        <w:t>分</w:t>
      </w:r>
      <w:r>
        <w:rPr>
          <w:rFonts w:hint="eastAsia" w:cs="Times New Roman"/>
          <w:bCs/>
          <w:kern w:val="0"/>
          <w:szCs w:val="32"/>
          <w:highlight w:val="none"/>
          <w:lang w:val="en-US" w:eastAsia="zh-CN"/>
        </w:rPr>
        <w:t>，</w:t>
      </w:r>
      <w:r>
        <w:rPr>
          <w:rFonts w:hint="eastAsia" w:ascii="仿宋" w:hAnsi="仿宋" w:eastAsia="仿宋" w:cs="仿宋"/>
          <w:highlight w:val="none"/>
          <w:lang w:val="en-US" w:eastAsia="zh-CN"/>
        </w:rPr>
        <w:t>具体如下：</w:t>
      </w:r>
    </w:p>
    <w:p w14:paraId="271B6DE6">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①服务对象满意度权重</w:t>
      </w:r>
      <w:r>
        <w:rPr>
          <w:rFonts w:hint="eastAsia" w:cs="仿宋"/>
          <w:highlight w:val="none"/>
          <w:lang w:val="en-US" w:eastAsia="zh-CN"/>
        </w:rPr>
        <w:t>5</w:t>
      </w:r>
      <w:r>
        <w:rPr>
          <w:rFonts w:hint="eastAsia" w:ascii="仿宋" w:hAnsi="仿宋" w:eastAsia="仿宋" w:cs="仿宋"/>
          <w:highlight w:val="none"/>
          <w:lang w:val="en-US" w:eastAsia="zh-CN"/>
        </w:rPr>
        <w:t>分，得分</w:t>
      </w:r>
      <w:r>
        <w:rPr>
          <w:rFonts w:hint="eastAsia" w:cs="仿宋"/>
          <w:highlight w:val="none"/>
          <w:lang w:val="en-US" w:eastAsia="zh-CN"/>
        </w:rPr>
        <w:t>5</w:t>
      </w:r>
      <w:r>
        <w:rPr>
          <w:rFonts w:hint="eastAsia" w:ascii="仿宋" w:hAnsi="仿宋" w:eastAsia="仿宋" w:cs="仿宋"/>
          <w:highlight w:val="none"/>
          <w:lang w:val="en-US" w:eastAsia="zh-CN"/>
        </w:rPr>
        <w:t>分，未扣分。</w:t>
      </w:r>
    </w:p>
    <w:p w14:paraId="6253E5BF">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评价人员随机对</w:t>
      </w:r>
      <w:r>
        <w:rPr>
          <w:rFonts w:hint="eastAsia" w:cs="仿宋"/>
          <w:highlight w:val="none"/>
          <w:lang w:val="en-US" w:eastAsia="zh-CN"/>
        </w:rPr>
        <w:t>40名</w:t>
      </w:r>
      <w:r>
        <w:rPr>
          <w:rFonts w:hint="eastAsia" w:ascii="仿宋" w:hAnsi="仿宋" w:eastAsia="仿宋" w:cs="仿宋"/>
          <w:highlight w:val="none"/>
          <w:lang w:val="en-US" w:eastAsia="zh-CN"/>
        </w:rPr>
        <w:t>群众发放</w:t>
      </w:r>
      <w:r>
        <w:rPr>
          <w:rFonts w:hint="eastAsia" w:cs="仿宋"/>
          <w:highlight w:val="none"/>
          <w:lang w:val="en-US" w:eastAsia="zh-CN"/>
        </w:rPr>
        <w:t>调查</w:t>
      </w:r>
      <w:r>
        <w:rPr>
          <w:rFonts w:hint="eastAsia" w:ascii="仿宋" w:hAnsi="仿宋" w:eastAsia="仿宋" w:cs="仿宋"/>
          <w:highlight w:val="none"/>
          <w:lang w:val="en-US" w:eastAsia="zh-CN"/>
        </w:rPr>
        <w:t>问卷，对区</w:t>
      </w:r>
      <w:r>
        <w:rPr>
          <w:rFonts w:hint="eastAsia" w:cs="仿宋"/>
          <w:highlight w:val="none"/>
          <w:lang w:val="en-US" w:eastAsia="zh-CN"/>
        </w:rPr>
        <w:t>卫健局</w:t>
      </w:r>
      <w:r>
        <w:rPr>
          <w:rFonts w:hint="eastAsia" w:ascii="仿宋" w:hAnsi="仿宋" w:eastAsia="仿宋" w:cs="仿宋"/>
          <w:highlight w:val="none"/>
          <w:lang w:val="en-US" w:eastAsia="zh-CN"/>
        </w:rPr>
        <w:t>履职效果</w:t>
      </w:r>
      <w:r>
        <w:rPr>
          <w:rFonts w:hint="eastAsia" w:cs="仿宋"/>
          <w:highlight w:val="none"/>
          <w:lang w:val="en-US" w:eastAsia="zh-CN"/>
        </w:rPr>
        <w:t>进行</w:t>
      </w:r>
      <w:r>
        <w:rPr>
          <w:rFonts w:hint="eastAsia" w:ascii="仿宋" w:hAnsi="仿宋" w:eastAsia="仿宋" w:cs="仿宋"/>
          <w:highlight w:val="none"/>
          <w:lang w:val="en-US" w:eastAsia="zh-CN"/>
        </w:rPr>
        <w:t>问卷调查，调查结果显示，有9</w:t>
      </w:r>
      <w:r>
        <w:rPr>
          <w:rFonts w:hint="eastAsia" w:cs="仿宋"/>
          <w:highlight w:val="none"/>
          <w:lang w:val="en-US" w:eastAsia="zh-CN"/>
        </w:rPr>
        <w:t>2.5</w:t>
      </w:r>
      <w:r>
        <w:rPr>
          <w:rFonts w:hint="eastAsia" w:ascii="仿宋" w:hAnsi="仿宋" w:eastAsia="仿宋" w:cs="仿宋"/>
          <w:highlight w:val="none"/>
          <w:lang w:val="en-US" w:eastAsia="zh-CN"/>
        </w:rPr>
        <w:t>%的受访群众对区</w:t>
      </w:r>
      <w:r>
        <w:rPr>
          <w:rFonts w:hint="eastAsia" w:cs="仿宋"/>
          <w:highlight w:val="none"/>
          <w:lang w:val="en-US" w:eastAsia="zh-CN"/>
        </w:rPr>
        <w:t>卫健局</w:t>
      </w:r>
      <w:r>
        <w:rPr>
          <w:rFonts w:hint="eastAsia" w:ascii="仿宋" w:hAnsi="仿宋" w:eastAsia="仿宋" w:cs="仿宋"/>
          <w:highlight w:val="none"/>
          <w:lang w:val="en-US" w:eastAsia="zh-CN"/>
        </w:rPr>
        <w:t>表示满意，根据评分标准，本指标不扣分。</w:t>
      </w:r>
    </w:p>
    <w:p w14:paraId="06512548">
      <w:pPr>
        <w:pStyle w:val="3"/>
        <w:keepNext w:val="0"/>
        <w:keepLines w:val="0"/>
        <w:overflowPunct w:val="0"/>
        <w:autoSpaceDE w:val="0"/>
        <w:autoSpaceDN w:val="0"/>
        <w:ind w:firstLine="473"/>
        <w:outlineLvl w:val="1"/>
        <w:rPr>
          <w:rFonts w:hint="eastAsia" w:ascii="Times New Roman" w:hAnsi="Times New Roman"/>
          <w:highlight w:val="none"/>
          <w:lang w:eastAsia="zh-CN"/>
        </w:rPr>
      </w:pPr>
      <w:bookmarkStart w:id="19" w:name="_Toc16125"/>
      <w:r>
        <w:rPr>
          <w:rFonts w:hint="eastAsia" w:ascii="Times New Roman" w:hAnsi="Times New Roman"/>
          <w:highlight w:val="none"/>
        </w:rPr>
        <w:t>（四）存在的其他问题和原因</w:t>
      </w:r>
      <w:bookmarkEnd w:id="19"/>
    </w:p>
    <w:p w14:paraId="0768E3CE">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1.预算编制的准确及合理性有待提高</w:t>
      </w:r>
    </w:p>
    <w:p w14:paraId="2D1DD02A">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预算编制框架虽符合规范，但年度预算调整幅度远超合理范围，调整率高达1076.81%。</w:t>
      </w:r>
      <w:r>
        <w:rPr>
          <w:rFonts w:hint="eastAsia" w:cs="仿宋"/>
          <w:highlight w:val="none"/>
          <w:lang w:val="en-US" w:eastAsia="zh-CN"/>
        </w:rPr>
        <w:t>反映出</w:t>
      </w:r>
      <w:r>
        <w:rPr>
          <w:rFonts w:hint="eastAsia" w:ascii="仿宋" w:hAnsi="仿宋" w:eastAsia="仿宋" w:cs="仿宋"/>
          <w:highlight w:val="none"/>
          <w:lang w:val="en-US" w:eastAsia="zh-CN"/>
        </w:rPr>
        <w:t>年初对全年工作的战略预判与实际业务需求匹配度低，未能将公共卫生服务拓展、医疗体系建设等新增重点任务的资金需求纳入整体规划，导致财政资源统筹缺乏前瞻性，直接影响资金配置的稳定性与高效性。</w:t>
      </w:r>
    </w:p>
    <w:p w14:paraId="4ECD9659">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2.绩效管理工作需进一步落实</w:t>
      </w:r>
    </w:p>
    <w:p w14:paraId="6D9F59B1">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一方面，绩效目标设定未紧扣核心职责，履职效能仅设2项指标，且缺失基层医疗服务覆盖率等关键产出指标，同时2024年未建立事中动态监控机制，无法及时校准资金使用、项目推进中的偏差；另一方面，未开展重点项目及部门整体支出自评，无评价成果支撑工作优化，且“评价—反馈—改进”机制缺位，导致前期预算调整、目标不完整等问题无法反馈至下一年度，绩效管理“以评促管”的导向作用未落地。</w:t>
      </w:r>
    </w:p>
    <w:p w14:paraId="16AEB0D7">
      <w:pPr>
        <w:pStyle w:val="4"/>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3.资产、资金管理有待加强</w:t>
      </w:r>
    </w:p>
    <w:p w14:paraId="755AA143">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公用经费控制偏离合理范围，控制率达188.04%（实际支出17.35万元，预算32.63万元），反映出预算测算与日常管控的制度衔接存在</w:t>
      </w:r>
      <w:r>
        <w:rPr>
          <w:rFonts w:hint="eastAsia" w:cs="仿宋"/>
          <w:highlight w:val="none"/>
          <w:lang w:val="en-US" w:eastAsia="zh-CN"/>
        </w:rPr>
        <w:t>不足</w:t>
      </w:r>
      <w:r>
        <w:rPr>
          <w:rFonts w:hint="eastAsia" w:ascii="仿宋" w:hAnsi="仿宋" w:eastAsia="仿宋" w:cs="仿宋"/>
          <w:highlight w:val="none"/>
          <w:lang w:val="en-US" w:eastAsia="zh-CN"/>
        </w:rPr>
        <w:t>；资金结转结余率1.96%（结转41.67万元，调整预算2127.37万元），政府采购执行率90.83%（实际1.14万元，预算1.26万元），本质是资源使用全流程精细化管控不足，未能实现“资金跟着需求走、执行跟着计划走”，导致部分资源未能高效转化为服务效能。</w:t>
      </w:r>
    </w:p>
    <w:p w14:paraId="7F362826">
      <w:pPr>
        <w:pStyle w:val="4"/>
        <w:spacing w:before="0" w:after="0" w:line="560" w:lineRule="exact"/>
        <w:ind w:firstLine="632" w:firstLineChars="200"/>
        <w:outlineLvl w:val="2"/>
        <w:rPr>
          <w:rFonts w:hint="default"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4.业务管理有待加强</w:t>
      </w:r>
    </w:p>
    <w:p w14:paraId="720FEC62">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default" w:ascii="仿宋" w:hAnsi="仿宋" w:eastAsia="仿宋" w:cs="仿宋"/>
          <w:highlight w:val="none"/>
          <w:lang w:val="en-US" w:eastAsia="zh-CN"/>
        </w:rPr>
        <w:t>便民业务推进滞后，新生儿出生“一件事”线上办理实际完成35件（目标80件），</w:t>
      </w:r>
      <w:r>
        <w:rPr>
          <w:rFonts w:hint="eastAsia" w:cs="仿宋"/>
          <w:highlight w:val="none"/>
          <w:lang w:val="en-US" w:eastAsia="zh-CN"/>
        </w:rPr>
        <w:t>反映</w:t>
      </w:r>
      <w:r>
        <w:rPr>
          <w:rFonts w:hint="default" w:ascii="仿宋" w:hAnsi="仿宋" w:eastAsia="仿宋" w:cs="仿宋"/>
          <w:highlight w:val="none"/>
          <w:lang w:val="en-US" w:eastAsia="zh-CN"/>
        </w:rPr>
        <w:t>服务供给与群众“高效办事”需求适配性不足，资源统筹能力欠缺；医疗废物管理存在分类不规范、转运不标准、记录不完整等问题，反映公共卫生安全全流程监管体系有漏洞；高学历人才仅2人（研究生学历或副高职称），凸显人才战略与基层医疗升级、公卫科研需求脱节，长期将影响部门履职能力可持续提升</w:t>
      </w:r>
      <w:r>
        <w:rPr>
          <w:rFonts w:hint="eastAsia" w:ascii="仿宋" w:hAnsi="仿宋" w:eastAsia="仿宋" w:cs="仿宋"/>
          <w:highlight w:val="none"/>
          <w:lang w:val="en-US" w:eastAsia="zh-CN"/>
        </w:rPr>
        <w:t>。​</w:t>
      </w:r>
    </w:p>
    <w:p w14:paraId="67EC5267">
      <w:pPr>
        <w:pStyle w:val="3"/>
        <w:keepNext w:val="0"/>
        <w:keepLines w:val="0"/>
        <w:overflowPunct w:val="0"/>
        <w:autoSpaceDE w:val="0"/>
        <w:autoSpaceDN w:val="0"/>
        <w:ind w:firstLine="473"/>
        <w:outlineLvl w:val="1"/>
        <w:rPr>
          <w:rFonts w:hint="eastAsia" w:ascii="Times New Roman" w:hAnsi="Times New Roman"/>
          <w:highlight w:val="none"/>
        </w:rPr>
      </w:pPr>
      <w:bookmarkStart w:id="20" w:name="_Toc17913"/>
      <w:r>
        <w:rPr>
          <w:rFonts w:hint="eastAsia" w:ascii="Times New Roman" w:hAnsi="Times New Roman"/>
          <w:highlight w:val="none"/>
        </w:rPr>
        <w:t>（五）其他佐证材料</w:t>
      </w:r>
      <w:bookmarkEnd w:id="20"/>
    </w:p>
    <w:p w14:paraId="70221B59">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1.2024年度工作总结</w:t>
      </w:r>
    </w:p>
    <w:p w14:paraId="67800EAE">
      <w:pPr>
        <w:pStyle w:val="8"/>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2.区</w:t>
      </w:r>
      <w:r>
        <w:rPr>
          <w:rFonts w:hint="eastAsia" w:cs="仿宋"/>
          <w:highlight w:val="none"/>
          <w:lang w:val="en-US" w:eastAsia="zh-CN"/>
        </w:rPr>
        <w:t>卫健局</w:t>
      </w:r>
      <w:r>
        <w:rPr>
          <w:rFonts w:hint="eastAsia" w:ascii="仿宋" w:hAnsi="仿宋" w:eastAsia="仿宋" w:cs="仿宋"/>
          <w:highlight w:val="none"/>
          <w:lang w:val="en-US" w:eastAsia="zh-CN"/>
        </w:rPr>
        <w:t>2024年度绩效目标完成情况的报告及相关指标完成情况佐证材料</w:t>
      </w:r>
    </w:p>
    <w:p w14:paraId="438D4537">
      <w:pPr>
        <w:overflowPunct w:val="0"/>
        <w:autoSpaceDE w:val="0"/>
        <w:autoSpaceDN w:val="0"/>
        <w:ind w:firstLine="632" w:firstLineChars="200"/>
        <w:rPr>
          <w:rFonts w:ascii="Times New Roman" w:hAnsi="Times New Roman" w:eastAsia="黑体" w:cs="Times New Roman"/>
          <w:kern w:val="0"/>
          <w:highlight w:val="none"/>
        </w:rPr>
      </w:pPr>
    </w:p>
    <w:p w14:paraId="1DA51B69">
      <w:pPr>
        <w:pageBreakBefore w:val="0"/>
        <w:widowControl/>
        <w:kinsoku/>
        <w:wordWrap/>
        <w:overflowPunct/>
        <w:topLinePunct w:val="0"/>
        <w:autoSpaceDE/>
        <w:autoSpaceDN/>
        <w:bidi w:val="0"/>
        <w:adjustRightInd/>
        <w:spacing w:line="560" w:lineRule="exact"/>
        <w:jc w:val="right"/>
        <w:rPr>
          <w:rFonts w:hint="eastAsia" w:ascii="仿宋" w:hAnsi="仿宋" w:cs="Times New Roman"/>
          <w:szCs w:val="32"/>
          <w:highlight w:val="none"/>
          <w:lang w:eastAsia="zh-CN"/>
        </w:rPr>
      </w:pPr>
      <w:r>
        <w:rPr>
          <w:rFonts w:hint="eastAsia" w:ascii="仿宋" w:hAnsi="仿宋" w:cs="Times New Roman"/>
          <w:szCs w:val="32"/>
          <w:highlight w:val="none"/>
        </w:rPr>
        <w:tab/>
      </w:r>
      <w:r>
        <w:rPr>
          <w:rFonts w:hint="eastAsia" w:ascii="仿宋" w:hAnsi="仿宋" w:cs="Times New Roman"/>
          <w:szCs w:val="32"/>
          <w:highlight w:val="none"/>
          <w:lang w:eastAsia="zh-CN"/>
        </w:rPr>
        <w:t>湖北永九星房地产资产评估有限公司</w:t>
      </w:r>
    </w:p>
    <w:p w14:paraId="62195493">
      <w:pPr>
        <w:pageBreakBefore w:val="0"/>
        <w:widowControl/>
        <w:kinsoku/>
        <w:wordWrap/>
        <w:overflowPunct/>
        <w:topLinePunct w:val="0"/>
        <w:autoSpaceDE/>
        <w:autoSpaceDN/>
        <w:bidi w:val="0"/>
        <w:adjustRightInd/>
        <w:spacing w:line="560" w:lineRule="exact"/>
        <w:jc w:val="left"/>
        <w:rPr>
          <w:rFonts w:hint="eastAsia" w:ascii="仿宋" w:hAnsi="仿宋" w:cs="Times New Roman"/>
          <w:szCs w:val="32"/>
          <w:highlight w:val="none"/>
        </w:rPr>
      </w:pPr>
      <w:r>
        <w:rPr>
          <w:rFonts w:hint="eastAsia" w:ascii="仿宋" w:hAnsi="仿宋" w:cs="Times New Roman"/>
          <w:szCs w:val="32"/>
          <w:highlight w:val="none"/>
        </w:rPr>
        <w:t xml:space="preserve">                   </w:t>
      </w:r>
      <w:r>
        <w:rPr>
          <w:rFonts w:hint="eastAsia" w:ascii="仿宋" w:hAnsi="仿宋" w:cs="Times New Roman"/>
          <w:szCs w:val="32"/>
          <w:highlight w:val="none"/>
          <w:lang w:val="en-US" w:eastAsia="zh-CN"/>
        </w:rPr>
        <w:t xml:space="preserve">              </w:t>
      </w:r>
      <w:r>
        <w:rPr>
          <w:rFonts w:hint="eastAsia" w:ascii="仿宋" w:hAnsi="仿宋" w:cs="Times New Roman"/>
          <w:szCs w:val="32"/>
          <w:highlight w:val="none"/>
        </w:rPr>
        <w:t>二〇二五年</w:t>
      </w:r>
      <w:r>
        <w:rPr>
          <w:rFonts w:hint="eastAsia" w:ascii="仿宋" w:hAnsi="仿宋" w:cs="Times New Roman"/>
          <w:szCs w:val="32"/>
          <w:highlight w:val="none"/>
          <w:lang w:val="en-US" w:eastAsia="zh-CN"/>
        </w:rPr>
        <w:t>八</w:t>
      </w:r>
      <w:r>
        <w:rPr>
          <w:rFonts w:hint="eastAsia" w:ascii="仿宋" w:hAnsi="仿宋" w:cs="Times New Roman"/>
          <w:szCs w:val="32"/>
          <w:highlight w:val="none"/>
        </w:rPr>
        <w:t>月</w:t>
      </w:r>
    </w:p>
    <w:p w14:paraId="00CE658C">
      <w:pPr>
        <w:pageBreakBefore w:val="0"/>
        <w:widowControl/>
        <w:kinsoku/>
        <w:wordWrap/>
        <w:overflowPunct/>
        <w:topLinePunct w:val="0"/>
        <w:autoSpaceDE/>
        <w:autoSpaceDN/>
        <w:bidi w:val="0"/>
        <w:adjustRightInd/>
        <w:spacing w:line="560" w:lineRule="exact"/>
        <w:jc w:val="right"/>
        <w:rPr>
          <w:rFonts w:hint="eastAsia" w:ascii="仿宋" w:hAnsi="仿宋" w:cs="Times New Roman"/>
          <w:szCs w:val="32"/>
          <w:highlight w:val="none"/>
          <w:lang w:val="en-US"/>
        </w:rPr>
      </w:pPr>
    </w:p>
    <w:p w14:paraId="299C079F">
      <w:pPr>
        <w:pageBreakBefore w:val="0"/>
        <w:widowControl/>
        <w:kinsoku/>
        <w:wordWrap/>
        <w:overflowPunct/>
        <w:topLinePunct w:val="0"/>
        <w:autoSpaceDE/>
        <w:autoSpaceDN/>
        <w:bidi w:val="0"/>
        <w:adjustRightInd/>
        <w:spacing w:line="560" w:lineRule="exact"/>
        <w:jc w:val="both"/>
        <w:rPr>
          <w:rFonts w:ascii="Times New Roman" w:hAnsi="Times New Roman"/>
          <w:highlight w:val="none"/>
        </w:rPr>
      </w:pPr>
      <w:bookmarkStart w:id="21" w:name="_GoBack"/>
      <w:bookmarkEnd w:id="21"/>
    </w:p>
    <w:sectPr>
      <w:headerReference r:id="rId7" w:type="default"/>
      <w:footerReference r:id="rId8" w:type="default"/>
      <w:pgSz w:w="11906" w:h="16838"/>
      <w:pgMar w:top="2098" w:right="1474" w:bottom="1984" w:left="1587" w:header="1417" w:footer="1134" w:gutter="0"/>
      <w:pgNumType w:fmt="decimal" w:start="1"/>
      <w:cols w:space="0" w:num="1"/>
      <w:docGrid w:type="linesAndChars" w:linePitch="579" w:charSpace="-102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C3104761-8F64-4224-9562-C6EC1E6585E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embedRegular r:id="rId2" w:fontKey="{E3D08E92-414F-49AD-BADB-E905835C972E}"/>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embedRegular r:id="rId3" w:fontKey="{B3F3AEF9-A027-4246-99CE-3A7C2C369C35}"/>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方正小标宋_GBK">
    <w:panose1 w:val="03000509000000000000"/>
    <w:charset w:val="86"/>
    <w:family w:val="auto"/>
    <w:pitch w:val="default"/>
    <w:sig w:usb0="00000001" w:usb1="080E0000" w:usb2="00000000" w:usb3="00000000" w:csb0="00040000" w:csb1="00000000"/>
    <w:embedRegular r:id="rId4" w:fontKey="{156AD1FF-9D52-452C-BAAC-A16AE028277E}"/>
  </w:font>
  <w:font w:name="Wingdings 2">
    <w:panose1 w:val="05020102010507070707"/>
    <w:charset w:val="02"/>
    <w:family w:val="roman"/>
    <w:pitch w:val="default"/>
    <w:sig w:usb0="00000000" w:usb1="00000000" w:usb2="00000000" w:usb3="00000000" w:csb0="80000000" w:csb1="00000000"/>
    <w:embedRegular r:id="rId5" w:fontKey="{2C775B0A-20D1-40A8-B6FF-19B0CE6963A3}"/>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WPSEMBED8">
    <w:panose1 w:val="050201020105070707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等线 Light">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9CF19">
    <w:pPr>
      <w:pStyle w:val="14"/>
      <w:jc w:val="right"/>
      <w:rPr>
        <w:rFonts w:hint="eastAsia" w:ascii="宋体" w:hAnsi="宋体" w:eastAsia="宋体"/>
        <w:b/>
        <w:bCs/>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91B21">
    <w:pPr>
      <w:pStyle w:val="14"/>
      <w:jc w:val="both"/>
      <w:rPr>
        <w:rFonts w:hint="eastAsia" w:ascii="宋体" w:hAnsi="宋体" w:eastAsia="宋体"/>
        <w:b/>
        <w:bCs/>
        <w:i/>
        <w:iCs/>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43AB13">
                          <w:pPr>
                            <w:pStyle w:val="14"/>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043AB13">
                    <w:pPr>
                      <w:pStyle w:val="14"/>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5FA1E">
    <w:pPr>
      <w:pStyle w:val="15"/>
      <w:pBdr>
        <w:bottom w:val="none" w:color="auto" w:sz="0" w:space="0"/>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0AA0D">
    <w:pPr>
      <w:pStyle w:val="15"/>
      <w:pBdr>
        <w:bottom w:val="none" w:color="auto" w:sz="0" w:space="0"/>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BBDAB">
    <w:pPr>
      <w:pStyle w:val="15"/>
      <w:pBdr>
        <w:bottom w:val="none" w:color="auto" w:sz="0" w:space="0"/>
      </w:pBdr>
      <w:jc w:val="both"/>
      <w:rPr>
        <w:rFonts w:hint="eastAsia" w:ascii="宋体" w:hAnsi="宋体" w:eastAsia="宋体"/>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9FFFD">
    <w:pPr>
      <w:pStyle w:val="15"/>
      <w:pBdr>
        <w:bottom w:val="double" w:color="auto" w:sz="8" w:space="0"/>
      </w:pBdr>
      <w:tabs>
        <w:tab w:val="left" w:pos="1586"/>
        <w:tab w:val="clear" w:pos="4153"/>
      </w:tabs>
      <w:jc w:val="center"/>
      <w:rPr>
        <w:rFonts w:hint="eastAsia" w:ascii="宋体" w:hAnsi="宋体" w:eastAsia="宋体"/>
        <w:b/>
        <w:bCs/>
        <w:lang w:eastAsia="zh-CN"/>
      </w:rPr>
    </w:pPr>
    <w:r>
      <w:rPr>
        <w:rFonts w:hint="eastAsia" w:ascii="宋体" w:hAnsi="宋体" w:eastAsia="宋体"/>
        <w:b/>
        <w:bCs/>
        <w:lang w:eastAsia="zh-CN"/>
      </w:rPr>
      <w:t>2024年黄石市下陆区卫生健康局部门整体支出绩效评价报告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mMDYwYzNjNzI5ODA4ZmI0NjA1NjA5YTYyZmQ3NTgifQ=="/>
  </w:docVars>
  <w:rsids>
    <w:rsidRoot w:val="00A504DC"/>
    <w:rsid w:val="00003DFE"/>
    <w:rsid w:val="00005FE9"/>
    <w:rsid w:val="00006A17"/>
    <w:rsid w:val="0000748A"/>
    <w:rsid w:val="00012E88"/>
    <w:rsid w:val="00016034"/>
    <w:rsid w:val="00020A3F"/>
    <w:rsid w:val="00024F48"/>
    <w:rsid w:val="0003153F"/>
    <w:rsid w:val="0003175F"/>
    <w:rsid w:val="00035117"/>
    <w:rsid w:val="000408F5"/>
    <w:rsid w:val="00040F71"/>
    <w:rsid w:val="00046DE5"/>
    <w:rsid w:val="000502A9"/>
    <w:rsid w:val="00051BF2"/>
    <w:rsid w:val="00052B5E"/>
    <w:rsid w:val="0005483C"/>
    <w:rsid w:val="000567C3"/>
    <w:rsid w:val="00056D74"/>
    <w:rsid w:val="000575D5"/>
    <w:rsid w:val="00061548"/>
    <w:rsid w:val="000620E2"/>
    <w:rsid w:val="00062B7A"/>
    <w:rsid w:val="0006530E"/>
    <w:rsid w:val="00066006"/>
    <w:rsid w:val="00066D9F"/>
    <w:rsid w:val="000677AB"/>
    <w:rsid w:val="00070AF7"/>
    <w:rsid w:val="000760DA"/>
    <w:rsid w:val="00076944"/>
    <w:rsid w:val="00077731"/>
    <w:rsid w:val="00081641"/>
    <w:rsid w:val="00083A04"/>
    <w:rsid w:val="00085D07"/>
    <w:rsid w:val="0008799D"/>
    <w:rsid w:val="00091BDA"/>
    <w:rsid w:val="00091FB1"/>
    <w:rsid w:val="00095D04"/>
    <w:rsid w:val="000A1671"/>
    <w:rsid w:val="000A25E4"/>
    <w:rsid w:val="000B11F3"/>
    <w:rsid w:val="000B16A3"/>
    <w:rsid w:val="000B1FEC"/>
    <w:rsid w:val="000B44C9"/>
    <w:rsid w:val="000B4FFF"/>
    <w:rsid w:val="000B51F4"/>
    <w:rsid w:val="000B578A"/>
    <w:rsid w:val="000B724C"/>
    <w:rsid w:val="000C08EF"/>
    <w:rsid w:val="000C1E2B"/>
    <w:rsid w:val="000C611E"/>
    <w:rsid w:val="000D305C"/>
    <w:rsid w:val="000D4BA6"/>
    <w:rsid w:val="000D5D45"/>
    <w:rsid w:val="000E5380"/>
    <w:rsid w:val="000F6310"/>
    <w:rsid w:val="00100389"/>
    <w:rsid w:val="00102D21"/>
    <w:rsid w:val="001051A3"/>
    <w:rsid w:val="001100DE"/>
    <w:rsid w:val="0011069E"/>
    <w:rsid w:val="0011102D"/>
    <w:rsid w:val="0011257A"/>
    <w:rsid w:val="00115C42"/>
    <w:rsid w:val="00120BA2"/>
    <w:rsid w:val="0012308F"/>
    <w:rsid w:val="0013020C"/>
    <w:rsid w:val="00131646"/>
    <w:rsid w:val="00135BDD"/>
    <w:rsid w:val="001432C4"/>
    <w:rsid w:val="00143FBC"/>
    <w:rsid w:val="00146BA5"/>
    <w:rsid w:val="001500CD"/>
    <w:rsid w:val="00152029"/>
    <w:rsid w:val="00154378"/>
    <w:rsid w:val="00166B01"/>
    <w:rsid w:val="00166D19"/>
    <w:rsid w:val="00182753"/>
    <w:rsid w:val="00187CC8"/>
    <w:rsid w:val="00193A5E"/>
    <w:rsid w:val="00194101"/>
    <w:rsid w:val="00194865"/>
    <w:rsid w:val="00194C5A"/>
    <w:rsid w:val="00197C98"/>
    <w:rsid w:val="001A0E0B"/>
    <w:rsid w:val="001A680C"/>
    <w:rsid w:val="001A73F4"/>
    <w:rsid w:val="001B135E"/>
    <w:rsid w:val="001B33A7"/>
    <w:rsid w:val="001B573D"/>
    <w:rsid w:val="001C70C6"/>
    <w:rsid w:val="001C7800"/>
    <w:rsid w:val="001C7CAB"/>
    <w:rsid w:val="001D5566"/>
    <w:rsid w:val="001D6127"/>
    <w:rsid w:val="001D6365"/>
    <w:rsid w:val="001D6CC0"/>
    <w:rsid w:val="001E09DA"/>
    <w:rsid w:val="001E0D22"/>
    <w:rsid w:val="001E1A58"/>
    <w:rsid w:val="001E4796"/>
    <w:rsid w:val="001E6AC0"/>
    <w:rsid w:val="001E7759"/>
    <w:rsid w:val="001F203E"/>
    <w:rsid w:val="001F3F7D"/>
    <w:rsid w:val="001F691C"/>
    <w:rsid w:val="001F6BEC"/>
    <w:rsid w:val="001F78CC"/>
    <w:rsid w:val="00200546"/>
    <w:rsid w:val="00210D0E"/>
    <w:rsid w:val="00211F09"/>
    <w:rsid w:val="00213946"/>
    <w:rsid w:val="002157AB"/>
    <w:rsid w:val="00216245"/>
    <w:rsid w:val="00221982"/>
    <w:rsid w:val="00226498"/>
    <w:rsid w:val="002267A5"/>
    <w:rsid w:val="00227CE6"/>
    <w:rsid w:val="0023069D"/>
    <w:rsid w:val="0023310F"/>
    <w:rsid w:val="0023522E"/>
    <w:rsid w:val="00241106"/>
    <w:rsid w:val="00241AA1"/>
    <w:rsid w:val="00246AA7"/>
    <w:rsid w:val="00250523"/>
    <w:rsid w:val="00255B25"/>
    <w:rsid w:val="00261E46"/>
    <w:rsid w:val="002636DB"/>
    <w:rsid w:val="00267FB0"/>
    <w:rsid w:val="002718FE"/>
    <w:rsid w:val="0027526C"/>
    <w:rsid w:val="00276F8C"/>
    <w:rsid w:val="00281F72"/>
    <w:rsid w:val="00283FE7"/>
    <w:rsid w:val="0028470F"/>
    <w:rsid w:val="00284B45"/>
    <w:rsid w:val="0028553A"/>
    <w:rsid w:val="00291329"/>
    <w:rsid w:val="00292D25"/>
    <w:rsid w:val="002A014B"/>
    <w:rsid w:val="002A0FEE"/>
    <w:rsid w:val="002A1A9F"/>
    <w:rsid w:val="002A610F"/>
    <w:rsid w:val="002B256A"/>
    <w:rsid w:val="002B4333"/>
    <w:rsid w:val="002B4CF6"/>
    <w:rsid w:val="002B6541"/>
    <w:rsid w:val="002B68CD"/>
    <w:rsid w:val="002C2038"/>
    <w:rsid w:val="002C5A7B"/>
    <w:rsid w:val="002D0FEB"/>
    <w:rsid w:val="002D4160"/>
    <w:rsid w:val="002E1491"/>
    <w:rsid w:val="002E1D59"/>
    <w:rsid w:val="002F2EB6"/>
    <w:rsid w:val="002F55AC"/>
    <w:rsid w:val="00304263"/>
    <w:rsid w:val="00307C42"/>
    <w:rsid w:val="00312381"/>
    <w:rsid w:val="00313E1F"/>
    <w:rsid w:val="00313E7D"/>
    <w:rsid w:val="003145C9"/>
    <w:rsid w:val="00323F04"/>
    <w:rsid w:val="00327EE6"/>
    <w:rsid w:val="003372F2"/>
    <w:rsid w:val="00342838"/>
    <w:rsid w:val="003431BD"/>
    <w:rsid w:val="0034770E"/>
    <w:rsid w:val="00351061"/>
    <w:rsid w:val="00353BA1"/>
    <w:rsid w:val="003603C5"/>
    <w:rsid w:val="00366605"/>
    <w:rsid w:val="0037028A"/>
    <w:rsid w:val="00372E80"/>
    <w:rsid w:val="0037380D"/>
    <w:rsid w:val="0037404C"/>
    <w:rsid w:val="0037476C"/>
    <w:rsid w:val="00384A84"/>
    <w:rsid w:val="00390356"/>
    <w:rsid w:val="003A2987"/>
    <w:rsid w:val="003A34B4"/>
    <w:rsid w:val="003A4CEB"/>
    <w:rsid w:val="003A5578"/>
    <w:rsid w:val="003A6461"/>
    <w:rsid w:val="003A7625"/>
    <w:rsid w:val="003A7986"/>
    <w:rsid w:val="003B3FE0"/>
    <w:rsid w:val="003B65D9"/>
    <w:rsid w:val="003B695F"/>
    <w:rsid w:val="003C11C1"/>
    <w:rsid w:val="003C22F9"/>
    <w:rsid w:val="003C353A"/>
    <w:rsid w:val="003C6FA4"/>
    <w:rsid w:val="003D091A"/>
    <w:rsid w:val="003D2105"/>
    <w:rsid w:val="003D2963"/>
    <w:rsid w:val="003D2A4D"/>
    <w:rsid w:val="003D2FE0"/>
    <w:rsid w:val="003E1AEA"/>
    <w:rsid w:val="003E1F76"/>
    <w:rsid w:val="003E246C"/>
    <w:rsid w:val="003E446E"/>
    <w:rsid w:val="003E4651"/>
    <w:rsid w:val="003F2BA7"/>
    <w:rsid w:val="003F2D50"/>
    <w:rsid w:val="003F4EF2"/>
    <w:rsid w:val="003F6819"/>
    <w:rsid w:val="003F786B"/>
    <w:rsid w:val="00406FC2"/>
    <w:rsid w:val="004074BB"/>
    <w:rsid w:val="00413022"/>
    <w:rsid w:val="004154C2"/>
    <w:rsid w:val="0041794D"/>
    <w:rsid w:val="00421733"/>
    <w:rsid w:val="00422A70"/>
    <w:rsid w:val="004301BD"/>
    <w:rsid w:val="00433E76"/>
    <w:rsid w:val="00435722"/>
    <w:rsid w:val="00435D25"/>
    <w:rsid w:val="00436AB0"/>
    <w:rsid w:val="00437DF9"/>
    <w:rsid w:val="0044120A"/>
    <w:rsid w:val="00446B7F"/>
    <w:rsid w:val="004470F6"/>
    <w:rsid w:val="00447EED"/>
    <w:rsid w:val="00450404"/>
    <w:rsid w:val="00452109"/>
    <w:rsid w:val="00452607"/>
    <w:rsid w:val="00454417"/>
    <w:rsid w:val="0045621B"/>
    <w:rsid w:val="004640B8"/>
    <w:rsid w:val="00467868"/>
    <w:rsid w:val="00470083"/>
    <w:rsid w:val="0047086A"/>
    <w:rsid w:val="00475402"/>
    <w:rsid w:val="00483335"/>
    <w:rsid w:val="00486E3C"/>
    <w:rsid w:val="0049265C"/>
    <w:rsid w:val="00494811"/>
    <w:rsid w:val="00496031"/>
    <w:rsid w:val="00497701"/>
    <w:rsid w:val="004A4D79"/>
    <w:rsid w:val="004A6EA6"/>
    <w:rsid w:val="004B0EBB"/>
    <w:rsid w:val="004B1A9A"/>
    <w:rsid w:val="004B1EE2"/>
    <w:rsid w:val="004B4484"/>
    <w:rsid w:val="004B4C69"/>
    <w:rsid w:val="004B5C16"/>
    <w:rsid w:val="004B6B79"/>
    <w:rsid w:val="004C1B53"/>
    <w:rsid w:val="004C4DB0"/>
    <w:rsid w:val="004C68DB"/>
    <w:rsid w:val="004D2584"/>
    <w:rsid w:val="004D2F2B"/>
    <w:rsid w:val="004D5129"/>
    <w:rsid w:val="004D5C8C"/>
    <w:rsid w:val="004D76FD"/>
    <w:rsid w:val="004E14D6"/>
    <w:rsid w:val="004E1F46"/>
    <w:rsid w:val="004F0173"/>
    <w:rsid w:val="004F0698"/>
    <w:rsid w:val="004F0A98"/>
    <w:rsid w:val="004F6DC7"/>
    <w:rsid w:val="005002FC"/>
    <w:rsid w:val="00500ECC"/>
    <w:rsid w:val="00503B07"/>
    <w:rsid w:val="005058FD"/>
    <w:rsid w:val="00513BAB"/>
    <w:rsid w:val="005142ED"/>
    <w:rsid w:val="005158EB"/>
    <w:rsid w:val="00521E14"/>
    <w:rsid w:val="0052230B"/>
    <w:rsid w:val="00530D5E"/>
    <w:rsid w:val="00532931"/>
    <w:rsid w:val="00532A05"/>
    <w:rsid w:val="005361B4"/>
    <w:rsid w:val="0053681F"/>
    <w:rsid w:val="00541D6B"/>
    <w:rsid w:val="00542663"/>
    <w:rsid w:val="00543174"/>
    <w:rsid w:val="005541D3"/>
    <w:rsid w:val="005565A7"/>
    <w:rsid w:val="005576BA"/>
    <w:rsid w:val="00561497"/>
    <w:rsid w:val="00561D86"/>
    <w:rsid w:val="00561EE7"/>
    <w:rsid w:val="005635D2"/>
    <w:rsid w:val="00563FBB"/>
    <w:rsid w:val="00566425"/>
    <w:rsid w:val="00572899"/>
    <w:rsid w:val="005733C5"/>
    <w:rsid w:val="00573602"/>
    <w:rsid w:val="0058067D"/>
    <w:rsid w:val="0058417B"/>
    <w:rsid w:val="00585412"/>
    <w:rsid w:val="00586643"/>
    <w:rsid w:val="00586E83"/>
    <w:rsid w:val="005877BB"/>
    <w:rsid w:val="00593114"/>
    <w:rsid w:val="005A096B"/>
    <w:rsid w:val="005A32FA"/>
    <w:rsid w:val="005A52C3"/>
    <w:rsid w:val="005B1A3F"/>
    <w:rsid w:val="005B1DBC"/>
    <w:rsid w:val="005B7322"/>
    <w:rsid w:val="005B78CC"/>
    <w:rsid w:val="005C00CE"/>
    <w:rsid w:val="005C1D2A"/>
    <w:rsid w:val="005C6EE0"/>
    <w:rsid w:val="005C6F11"/>
    <w:rsid w:val="005C7739"/>
    <w:rsid w:val="005D0200"/>
    <w:rsid w:val="005D2411"/>
    <w:rsid w:val="005D3206"/>
    <w:rsid w:val="005E1F90"/>
    <w:rsid w:val="005E544A"/>
    <w:rsid w:val="00603F4B"/>
    <w:rsid w:val="006046F6"/>
    <w:rsid w:val="0061326C"/>
    <w:rsid w:val="00617561"/>
    <w:rsid w:val="00620700"/>
    <w:rsid w:val="00622AA9"/>
    <w:rsid w:val="006275A5"/>
    <w:rsid w:val="006277F6"/>
    <w:rsid w:val="006345D4"/>
    <w:rsid w:val="00641C8F"/>
    <w:rsid w:val="00641E6F"/>
    <w:rsid w:val="006467CA"/>
    <w:rsid w:val="00650722"/>
    <w:rsid w:val="00652E4D"/>
    <w:rsid w:val="00656B24"/>
    <w:rsid w:val="00657232"/>
    <w:rsid w:val="00657F96"/>
    <w:rsid w:val="00666963"/>
    <w:rsid w:val="006672D9"/>
    <w:rsid w:val="00670002"/>
    <w:rsid w:val="00672202"/>
    <w:rsid w:val="006725A8"/>
    <w:rsid w:val="00673CD1"/>
    <w:rsid w:val="00676E45"/>
    <w:rsid w:val="00677F65"/>
    <w:rsid w:val="00686352"/>
    <w:rsid w:val="00686FA4"/>
    <w:rsid w:val="0068781E"/>
    <w:rsid w:val="006964CD"/>
    <w:rsid w:val="006A294F"/>
    <w:rsid w:val="006A5DCA"/>
    <w:rsid w:val="006A7309"/>
    <w:rsid w:val="006A7EBB"/>
    <w:rsid w:val="006B1450"/>
    <w:rsid w:val="006B4A90"/>
    <w:rsid w:val="006B70C5"/>
    <w:rsid w:val="006C0939"/>
    <w:rsid w:val="006C1AB0"/>
    <w:rsid w:val="006C27A8"/>
    <w:rsid w:val="006C2E71"/>
    <w:rsid w:val="006C306C"/>
    <w:rsid w:val="006C51DA"/>
    <w:rsid w:val="006C5DF0"/>
    <w:rsid w:val="006D2F71"/>
    <w:rsid w:val="006D30F1"/>
    <w:rsid w:val="006E069F"/>
    <w:rsid w:val="006E088B"/>
    <w:rsid w:val="006E150A"/>
    <w:rsid w:val="006E1B87"/>
    <w:rsid w:val="006E2DA0"/>
    <w:rsid w:val="006F125D"/>
    <w:rsid w:val="00701D80"/>
    <w:rsid w:val="00702C29"/>
    <w:rsid w:val="00704E5C"/>
    <w:rsid w:val="007128C8"/>
    <w:rsid w:val="0071381B"/>
    <w:rsid w:val="007144A7"/>
    <w:rsid w:val="00715CF2"/>
    <w:rsid w:val="00717E2F"/>
    <w:rsid w:val="007233B1"/>
    <w:rsid w:val="0072541B"/>
    <w:rsid w:val="007269DF"/>
    <w:rsid w:val="00732930"/>
    <w:rsid w:val="00733497"/>
    <w:rsid w:val="0074479C"/>
    <w:rsid w:val="00747D7A"/>
    <w:rsid w:val="00750721"/>
    <w:rsid w:val="007544CC"/>
    <w:rsid w:val="00757CF2"/>
    <w:rsid w:val="007603A7"/>
    <w:rsid w:val="007644F5"/>
    <w:rsid w:val="0077137D"/>
    <w:rsid w:val="00774B6A"/>
    <w:rsid w:val="007805F1"/>
    <w:rsid w:val="00782943"/>
    <w:rsid w:val="00782EA3"/>
    <w:rsid w:val="007839E5"/>
    <w:rsid w:val="00785071"/>
    <w:rsid w:val="00795CD4"/>
    <w:rsid w:val="00797FAB"/>
    <w:rsid w:val="007A16BD"/>
    <w:rsid w:val="007A5D8D"/>
    <w:rsid w:val="007A61C0"/>
    <w:rsid w:val="007A7326"/>
    <w:rsid w:val="007A7B12"/>
    <w:rsid w:val="007B108B"/>
    <w:rsid w:val="007B2C17"/>
    <w:rsid w:val="007B5562"/>
    <w:rsid w:val="007C1EFE"/>
    <w:rsid w:val="007C5325"/>
    <w:rsid w:val="007C5BD0"/>
    <w:rsid w:val="007C7087"/>
    <w:rsid w:val="007C758B"/>
    <w:rsid w:val="007D2D4F"/>
    <w:rsid w:val="007D7075"/>
    <w:rsid w:val="007E02AA"/>
    <w:rsid w:val="007E1A87"/>
    <w:rsid w:val="007F7146"/>
    <w:rsid w:val="00801540"/>
    <w:rsid w:val="0080344A"/>
    <w:rsid w:val="00803AE4"/>
    <w:rsid w:val="00804203"/>
    <w:rsid w:val="00807E12"/>
    <w:rsid w:val="008130B2"/>
    <w:rsid w:val="0082084E"/>
    <w:rsid w:val="008248FB"/>
    <w:rsid w:val="0082526C"/>
    <w:rsid w:val="008308C6"/>
    <w:rsid w:val="0084125D"/>
    <w:rsid w:val="008469D3"/>
    <w:rsid w:val="0085390F"/>
    <w:rsid w:val="008613A8"/>
    <w:rsid w:val="00862B20"/>
    <w:rsid w:val="008633C3"/>
    <w:rsid w:val="00863D36"/>
    <w:rsid w:val="008703D8"/>
    <w:rsid w:val="0087268B"/>
    <w:rsid w:val="00875499"/>
    <w:rsid w:val="00883023"/>
    <w:rsid w:val="008851E5"/>
    <w:rsid w:val="008872FB"/>
    <w:rsid w:val="00890FD0"/>
    <w:rsid w:val="00893D07"/>
    <w:rsid w:val="008A095E"/>
    <w:rsid w:val="008A1CF5"/>
    <w:rsid w:val="008B6637"/>
    <w:rsid w:val="008C1862"/>
    <w:rsid w:val="008C5E0C"/>
    <w:rsid w:val="008D261C"/>
    <w:rsid w:val="008D28E5"/>
    <w:rsid w:val="008E0DFF"/>
    <w:rsid w:val="008E12DD"/>
    <w:rsid w:val="008E1357"/>
    <w:rsid w:val="008E527A"/>
    <w:rsid w:val="008E6387"/>
    <w:rsid w:val="008F0CF0"/>
    <w:rsid w:val="008F46EE"/>
    <w:rsid w:val="0090212A"/>
    <w:rsid w:val="00904229"/>
    <w:rsid w:val="00904D80"/>
    <w:rsid w:val="00905045"/>
    <w:rsid w:val="00910DB4"/>
    <w:rsid w:val="00912BED"/>
    <w:rsid w:val="00920D08"/>
    <w:rsid w:val="009221C0"/>
    <w:rsid w:val="0092314E"/>
    <w:rsid w:val="00926E95"/>
    <w:rsid w:val="009279CF"/>
    <w:rsid w:val="00936236"/>
    <w:rsid w:val="00936282"/>
    <w:rsid w:val="00936568"/>
    <w:rsid w:val="00940457"/>
    <w:rsid w:val="0094049B"/>
    <w:rsid w:val="00940970"/>
    <w:rsid w:val="00942A13"/>
    <w:rsid w:val="0094492B"/>
    <w:rsid w:val="00945C43"/>
    <w:rsid w:val="00946035"/>
    <w:rsid w:val="009461E7"/>
    <w:rsid w:val="00946BAC"/>
    <w:rsid w:val="00946DA1"/>
    <w:rsid w:val="00947D0A"/>
    <w:rsid w:val="00950E0B"/>
    <w:rsid w:val="0095239E"/>
    <w:rsid w:val="00952818"/>
    <w:rsid w:val="00956596"/>
    <w:rsid w:val="009608AB"/>
    <w:rsid w:val="00961077"/>
    <w:rsid w:val="0096547F"/>
    <w:rsid w:val="009658B2"/>
    <w:rsid w:val="00966A6D"/>
    <w:rsid w:val="009707D4"/>
    <w:rsid w:val="00980DF6"/>
    <w:rsid w:val="00981F7B"/>
    <w:rsid w:val="0098610C"/>
    <w:rsid w:val="00990BCA"/>
    <w:rsid w:val="00992B97"/>
    <w:rsid w:val="00992BA3"/>
    <w:rsid w:val="009A140F"/>
    <w:rsid w:val="009A332B"/>
    <w:rsid w:val="009A3887"/>
    <w:rsid w:val="009A7A63"/>
    <w:rsid w:val="009B25C1"/>
    <w:rsid w:val="009B46EF"/>
    <w:rsid w:val="009B5241"/>
    <w:rsid w:val="009B648E"/>
    <w:rsid w:val="009C0591"/>
    <w:rsid w:val="009C2164"/>
    <w:rsid w:val="009C4228"/>
    <w:rsid w:val="009D225C"/>
    <w:rsid w:val="009D35FC"/>
    <w:rsid w:val="009D71B7"/>
    <w:rsid w:val="009E1C7F"/>
    <w:rsid w:val="009E22F0"/>
    <w:rsid w:val="009E2EC6"/>
    <w:rsid w:val="009E7DB5"/>
    <w:rsid w:val="009F288D"/>
    <w:rsid w:val="009F78BC"/>
    <w:rsid w:val="00A01879"/>
    <w:rsid w:val="00A03A83"/>
    <w:rsid w:val="00A04AB3"/>
    <w:rsid w:val="00A07C44"/>
    <w:rsid w:val="00A07CB4"/>
    <w:rsid w:val="00A149C4"/>
    <w:rsid w:val="00A16AB0"/>
    <w:rsid w:val="00A17464"/>
    <w:rsid w:val="00A209A7"/>
    <w:rsid w:val="00A24485"/>
    <w:rsid w:val="00A2696E"/>
    <w:rsid w:val="00A27AB5"/>
    <w:rsid w:val="00A311BA"/>
    <w:rsid w:val="00A322BD"/>
    <w:rsid w:val="00A351C8"/>
    <w:rsid w:val="00A35331"/>
    <w:rsid w:val="00A4098A"/>
    <w:rsid w:val="00A46421"/>
    <w:rsid w:val="00A46684"/>
    <w:rsid w:val="00A46AA8"/>
    <w:rsid w:val="00A46D51"/>
    <w:rsid w:val="00A504DC"/>
    <w:rsid w:val="00A53909"/>
    <w:rsid w:val="00A54E89"/>
    <w:rsid w:val="00A54F85"/>
    <w:rsid w:val="00A562A6"/>
    <w:rsid w:val="00A56F11"/>
    <w:rsid w:val="00A57A98"/>
    <w:rsid w:val="00A60624"/>
    <w:rsid w:val="00A63693"/>
    <w:rsid w:val="00A64291"/>
    <w:rsid w:val="00A67830"/>
    <w:rsid w:val="00A70736"/>
    <w:rsid w:val="00A74368"/>
    <w:rsid w:val="00A82F12"/>
    <w:rsid w:val="00A866FD"/>
    <w:rsid w:val="00A94BE3"/>
    <w:rsid w:val="00A9526A"/>
    <w:rsid w:val="00A96F8F"/>
    <w:rsid w:val="00A9741C"/>
    <w:rsid w:val="00AA5B85"/>
    <w:rsid w:val="00AA7894"/>
    <w:rsid w:val="00AB4665"/>
    <w:rsid w:val="00AC0C88"/>
    <w:rsid w:val="00AC4A95"/>
    <w:rsid w:val="00AC7F0D"/>
    <w:rsid w:val="00AD1561"/>
    <w:rsid w:val="00AD3469"/>
    <w:rsid w:val="00AD35EC"/>
    <w:rsid w:val="00AD5993"/>
    <w:rsid w:val="00AD6ADC"/>
    <w:rsid w:val="00AE4844"/>
    <w:rsid w:val="00AE57F7"/>
    <w:rsid w:val="00AF1BC1"/>
    <w:rsid w:val="00AF2268"/>
    <w:rsid w:val="00AF36DC"/>
    <w:rsid w:val="00AF3CAE"/>
    <w:rsid w:val="00AF678A"/>
    <w:rsid w:val="00AF7433"/>
    <w:rsid w:val="00B0240A"/>
    <w:rsid w:val="00B03B8D"/>
    <w:rsid w:val="00B16452"/>
    <w:rsid w:val="00B20EE0"/>
    <w:rsid w:val="00B24BE0"/>
    <w:rsid w:val="00B27480"/>
    <w:rsid w:val="00B3011E"/>
    <w:rsid w:val="00B344F3"/>
    <w:rsid w:val="00B4151B"/>
    <w:rsid w:val="00B5098D"/>
    <w:rsid w:val="00B55E0F"/>
    <w:rsid w:val="00B61491"/>
    <w:rsid w:val="00B64B23"/>
    <w:rsid w:val="00B66D3E"/>
    <w:rsid w:val="00B72562"/>
    <w:rsid w:val="00B758C9"/>
    <w:rsid w:val="00B86AF7"/>
    <w:rsid w:val="00B90FB0"/>
    <w:rsid w:val="00B93372"/>
    <w:rsid w:val="00B935BF"/>
    <w:rsid w:val="00BA15F1"/>
    <w:rsid w:val="00BA2116"/>
    <w:rsid w:val="00BA670F"/>
    <w:rsid w:val="00BB0C1A"/>
    <w:rsid w:val="00BB57F1"/>
    <w:rsid w:val="00BB779F"/>
    <w:rsid w:val="00BB7BE3"/>
    <w:rsid w:val="00BC2BC7"/>
    <w:rsid w:val="00BC34DE"/>
    <w:rsid w:val="00BC5C5D"/>
    <w:rsid w:val="00BC63A7"/>
    <w:rsid w:val="00BD255A"/>
    <w:rsid w:val="00BD38D0"/>
    <w:rsid w:val="00BE5892"/>
    <w:rsid w:val="00BF0C63"/>
    <w:rsid w:val="00BF18C2"/>
    <w:rsid w:val="00BF3161"/>
    <w:rsid w:val="00BF556C"/>
    <w:rsid w:val="00C01A1E"/>
    <w:rsid w:val="00C02635"/>
    <w:rsid w:val="00C04158"/>
    <w:rsid w:val="00C0650F"/>
    <w:rsid w:val="00C11395"/>
    <w:rsid w:val="00C135DB"/>
    <w:rsid w:val="00C13FF8"/>
    <w:rsid w:val="00C14BFA"/>
    <w:rsid w:val="00C17728"/>
    <w:rsid w:val="00C179EC"/>
    <w:rsid w:val="00C209A7"/>
    <w:rsid w:val="00C25724"/>
    <w:rsid w:val="00C27FA0"/>
    <w:rsid w:val="00C33680"/>
    <w:rsid w:val="00C34B54"/>
    <w:rsid w:val="00C43102"/>
    <w:rsid w:val="00C43F8F"/>
    <w:rsid w:val="00C459D1"/>
    <w:rsid w:val="00C47E24"/>
    <w:rsid w:val="00C53B1E"/>
    <w:rsid w:val="00C55A6F"/>
    <w:rsid w:val="00C57E4A"/>
    <w:rsid w:val="00C62CC1"/>
    <w:rsid w:val="00C74056"/>
    <w:rsid w:val="00C74A0C"/>
    <w:rsid w:val="00C751C3"/>
    <w:rsid w:val="00C80365"/>
    <w:rsid w:val="00C858BE"/>
    <w:rsid w:val="00C90EE5"/>
    <w:rsid w:val="00C93820"/>
    <w:rsid w:val="00C9631F"/>
    <w:rsid w:val="00C965F4"/>
    <w:rsid w:val="00CA3A78"/>
    <w:rsid w:val="00CA6066"/>
    <w:rsid w:val="00CA7C68"/>
    <w:rsid w:val="00CB0236"/>
    <w:rsid w:val="00CB58E6"/>
    <w:rsid w:val="00CB7C1A"/>
    <w:rsid w:val="00CC0678"/>
    <w:rsid w:val="00CC3105"/>
    <w:rsid w:val="00CC3FF6"/>
    <w:rsid w:val="00CC63AA"/>
    <w:rsid w:val="00CC6951"/>
    <w:rsid w:val="00CC78B5"/>
    <w:rsid w:val="00CD071F"/>
    <w:rsid w:val="00CD4C7F"/>
    <w:rsid w:val="00CE0D57"/>
    <w:rsid w:val="00CE266B"/>
    <w:rsid w:val="00CE2D09"/>
    <w:rsid w:val="00CE5C39"/>
    <w:rsid w:val="00CE6FC0"/>
    <w:rsid w:val="00CF20D4"/>
    <w:rsid w:val="00CF2AAA"/>
    <w:rsid w:val="00CF302D"/>
    <w:rsid w:val="00CF67A0"/>
    <w:rsid w:val="00D00A8B"/>
    <w:rsid w:val="00D016AA"/>
    <w:rsid w:val="00D06003"/>
    <w:rsid w:val="00D06131"/>
    <w:rsid w:val="00D0685C"/>
    <w:rsid w:val="00D10A96"/>
    <w:rsid w:val="00D14341"/>
    <w:rsid w:val="00D147EB"/>
    <w:rsid w:val="00D158CF"/>
    <w:rsid w:val="00D15980"/>
    <w:rsid w:val="00D159D7"/>
    <w:rsid w:val="00D220AD"/>
    <w:rsid w:val="00D22485"/>
    <w:rsid w:val="00D22779"/>
    <w:rsid w:val="00D22A6C"/>
    <w:rsid w:val="00D26643"/>
    <w:rsid w:val="00D3237B"/>
    <w:rsid w:val="00D347E5"/>
    <w:rsid w:val="00D34FA6"/>
    <w:rsid w:val="00D37E96"/>
    <w:rsid w:val="00D41AFE"/>
    <w:rsid w:val="00D43301"/>
    <w:rsid w:val="00D4386A"/>
    <w:rsid w:val="00D44622"/>
    <w:rsid w:val="00D44DC5"/>
    <w:rsid w:val="00D46F17"/>
    <w:rsid w:val="00D5158B"/>
    <w:rsid w:val="00D56AA7"/>
    <w:rsid w:val="00D56BEE"/>
    <w:rsid w:val="00D60057"/>
    <w:rsid w:val="00D65E15"/>
    <w:rsid w:val="00D66B66"/>
    <w:rsid w:val="00D67B92"/>
    <w:rsid w:val="00D7172A"/>
    <w:rsid w:val="00D74161"/>
    <w:rsid w:val="00D74B7F"/>
    <w:rsid w:val="00D7515D"/>
    <w:rsid w:val="00D75738"/>
    <w:rsid w:val="00D769B1"/>
    <w:rsid w:val="00D846B0"/>
    <w:rsid w:val="00D84C2D"/>
    <w:rsid w:val="00D85CBB"/>
    <w:rsid w:val="00D86E77"/>
    <w:rsid w:val="00D925D6"/>
    <w:rsid w:val="00D9297D"/>
    <w:rsid w:val="00D96B96"/>
    <w:rsid w:val="00D96FA5"/>
    <w:rsid w:val="00D97359"/>
    <w:rsid w:val="00DA5F14"/>
    <w:rsid w:val="00DA6F6E"/>
    <w:rsid w:val="00DB0BA8"/>
    <w:rsid w:val="00DB1721"/>
    <w:rsid w:val="00DB41A6"/>
    <w:rsid w:val="00DC1825"/>
    <w:rsid w:val="00DC3698"/>
    <w:rsid w:val="00DD1413"/>
    <w:rsid w:val="00DD23D3"/>
    <w:rsid w:val="00DD3A5D"/>
    <w:rsid w:val="00DD759A"/>
    <w:rsid w:val="00DE3A7C"/>
    <w:rsid w:val="00DF1549"/>
    <w:rsid w:val="00DF2D50"/>
    <w:rsid w:val="00DF4E45"/>
    <w:rsid w:val="00DF6944"/>
    <w:rsid w:val="00DF756D"/>
    <w:rsid w:val="00E05E05"/>
    <w:rsid w:val="00E15629"/>
    <w:rsid w:val="00E1642B"/>
    <w:rsid w:val="00E17240"/>
    <w:rsid w:val="00E17542"/>
    <w:rsid w:val="00E22277"/>
    <w:rsid w:val="00E24193"/>
    <w:rsid w:val="00E2495C"/>
    <w:rsid w:val="00E262F1"/>
    <w:rsid w:val="00E267A8"/>
    <w:rsid w:val="00E3087C"/>
    <w:rsid w:val="00E3316C"/>
    <w:rsid w:val="00E33CD1"/>
    <w:rsid w:val="00E33E3F"/>
    <w:rsid w:val="00E368AB"/>
    <w:rsid w:val="00E40168"/>
    <w:rsid w:val="00E40C8F"/>
    <w:rsid w:val="00E417A0"/>
    <w:rsid w:val="00E4583B"/>
    <w:rsid w:val="00E50710"/>
    <w:rsid w:val="00E60382"/>
    <w:rsid w:val="00E616BF"/>
    <w:rsid w:val="00E66D80"/>
    <w:rsid w:val="00E70C68"/>
    <w:rsid w:val="00E7745E"/>
    <w:rsid w:val="00E835E7"/>
    <w:rsid w:val="00E844C6"/>
    <w:rsid w:val="00E84BD8"/>
    <w:rsid w:val="00E90B42"/>
    <w:rsid w:val="00E9584D"/>
    <w:rsid w:val="00EA1B68"/>
    <w:rsid w:val="00EA4384"/>
    <w:rsid w:val="00EA4993"/>
    <w:rsid w:val="00EB0A14"/>
    <w:rsid w:val="00EB18F6"/>
    <w:rsid w:val="00EB1E2F"/>
    <w:rsid w:val="00EB31B2"/>
    <w:rsid w:val="00EB3F16"/>
    <w:rsid w:val="00EB40BA"/>
    <w:rsid w:val="00EB54A1"/>
    <w:rsid w:val="00EB61CC"/>
    <w:rsid w:val="00EB75DA"/>
    <w:rsid w:val="00EC001B"/>
    <w:rsid w:val="00EC1A5F"/>
    <w:rsid w:val="00EC724A"/>
    <w:rsid w:val="00ED131D"/>
    <w:rsid w:val="00ED21AB"/>
    <w:rsid w:val="00ED36AF"/>
    <w:rsid w:val="00ED3C0F"/>
    <w:rsid w:val="00ED4C1B"/>
    <w:rsid w:val="00ED7228"/>
    <w:rsid w:val="00ED7C0E"/>
    <w:rsid w:val="00EE3503"/>
    <w:rsid w:val="00EF0333"/>
    <w:rsid w:val="00EF1D3A"/>
    <w:rsid w:val="00EF76C1"/>
    <w:rsid w:val="00F0787C"/>
    <w:rsid w:val="00F14FC1"/>
    <w:rsid w:val="00F17CAD"/>
    <w:rsid w:val="00F20118"/>
    <w:rsid w:val="00F2020D"/>
    <w:rsid w:val="00F2654B"/>
    <w:rsid w:val="00F279AB"/>
    <w:rsid w:val="00F31F38"/>
    <w:rsid w:val="00F33C9D"/>
    <w:rsid w:val="00F44BE1"/>
    <w:rsid w:val="00F56459"/>
    <w:rsid w:val="00F60B6E"/>
    <w:rsid w:val="00F62437"/>
    <w:rsid w:val="00F6348C"/>
    <w:rsid w:val="00F64C0D"/>
    <w:rsid w:val="00F64FA9"/>
    <w:rsid w:val="00F652C1"/>
    <w:rsid w:val="00F66F92"/>
    <w:rsid w:val="00F700CC"/>
    <w:rsid w:val="00F74343"/>
    <w:rsid w:val="00F76615"/>
    <w:rsid w:val="00F774AD"/>
    <w:rsid w:val="00F80107"/>
    <w:rsid w:val="00F829FB"/>
    <w:rsid w:val="00F855D5"/>
    <w:rsid w:val="00F86052"/>
    <w:rsid w:val="00F86F17"/>
    <w:rsid w:val="00F8781A"/>
    <w:rsid w:val="00F902E0"/>
    <w:rsid w:val="00FA1F56"/>
    <w:rsid w:val="00FA2153"/>
    <w:rsid w:val="00FA58A7"/>
    <w:rsid w:val="00FB5574"/>
    <w:rsid w:val="00FC4384"/>
    <w:rsid w:val="00FC5055"/>
    <w:rsid w:val="00FD1C85"/>
    <w:rsid w:val="00FD3E88"/>
    <w:rsid w:val="00FE0209"/>
    <w:rsid w:val="00FE3D1E"/>
    <w:rsid w:val="00FE7084"/>
    <w:rsid w:val="00FE7FA1"/>
    <w:rsid w:val="01B56ECD"/>
    <w:rsid w:val="01E15E36"/>
    <w:rsid w:val="01F571E8"/>
    <w:rsid w:val="02400A43"/>
    <w:rsid w:val="026659F0"/>
    <w:rsid w:val="02C866AB"/>
    <w:rsid w:val="02F8556B"/>
    <w:rsid w:val="035576CE"/>
    <w:rsid w:val="035B5437"/>
    <w:rsid w:val="0361048A"/>
    <w:rsid w:val="039C11F8"/>
    <w:rsid w:val="03D41080"/>
    <w:rsid w:val="03DC14B6"/>
    <w:rsid w:val="03DF3721"/>
    <w:rsid w:val="04714B20"/>
    <w:rsid w:val="06222A9C"/>
    <w:rsid w:val="0627421D"/>
    <w:rsid w:val="065840FD"/>
    <w:rsid w:val="06822B6B"/>
    <w:rsid w:val="06A65D50"/>
    <w:rsid w:val="0740581E"/>
    <w:rsid w:val="075E75DE"/>
    <w:rsid w:val="08B72F55"/>
    <w:rsid w:val="08EE6740"/>
    <w:rsid w:val="09093579"/>
    <w:rsid w:val="095E714A"/>
    <w:rsid w:val="09A10DA6"/>
    <w:rsid w:val="09F21CE1"/>
    <w:rsid w:val="0A056B75"/>
    <w:rsid w:val="0A7A4E79"/>
    <w:rsid w:val="0AAC0660"/>
    <w:rsid w:val="0ACF79C4"/>
    <w:rsid w:val="0AD2795C"/>
    <w:rsid w:val="0AF2117F"/>
    <w:rsid w:val="0B5E1FD1"/>
    <w:rsid w:val="0B6E3868"/>
    <w:rsid w:val="0B8948BC"/>
    <w:rsid w:val="0B927856"/>
    <w:rsid w:val="0BB65E0B"/>
    <w:rsid w:val="0C120997"/>
    <w:rsid w:val="0C936A06"/>
    <w:rsid w:val="0CAD246E"/>
    <w:rsid w:val="0D31575F"/>
    <w:rsid w:val="0D3B4EB5"/>
    <w:rsid w:val="0D565874"/>
    <w:rsid w:val="0D7F205C"/>
    <w:rsid w:val="0DDA307D"/>
    <w:rsid w:val="0DEE28D7"/>
    <w:rsid w:val="0E5232CD"/>
    <w:rsid w:val="0EB55363"/>
    <w:rsid w:val="0EDD15B7"/>
    <w:rsid w:val="0EF600FC"/>
    <w:rsid w:val="0F090F04"/>
    <w:rsid w:val="0F186B39"/>
    <w:rsid w:val="0F3C5344"/>
    <w:rsid w:val="0F3E106F"/>
    <w:rsid w:val="0F3F5F47"/>
    <w:rsid w:val="0F5961B3"/>
    <w:rsid w:val="1022012B"/>
    <w:rsid w:val="102D2243"/>
    <w:rsid w:val="10360D16"/>
    <w:rsid w:val="10364A44"/>
    <w:rsid w:val="104D184D"/>
    <w:rsid w:val="114532C1"/>
    <w:rsid w:val="11492EA2"/>
    <w:rsid w:val="114A2981"/>
    <w:rsid w:val="11A56D5B"/>
    <w:rsid w:val="11AF37CF"/>
    <w:rsid w:val="11EC3D68"/>
    <w:rsid w:val="12171D39"/>
    <w:rsid w:val="1228487B"/>
    <w:rsid w:val="123260D3"/>
    <w:rsid w:val="129F08EA"/>
    <w:rsid w:val="12D15108"/>
    <w:rsid w:val="12D208D9"/>
    <w:rsid w:val="12E82452"/>
    <w:rsid w:val="12F62DC0"/>
    <w:rsid w:val="13144FF5"/>
    <w:rsid w:val="13454DAC"/>
    <w:rsid w:val="137A57A0"/>
    <w:rsid w:val="139F6FB4"/>
    <w:rsid w:val="145C3106"/>
    <w:rsid w:val="146072ED"/>
    <w:rsid w:val="15033573"/>
    <w:rsid w:val="15512110"/>
    <w:rsid w:val="15B11B0F"/>
    <w:rsid w:val="15DF7B3C"/>
    <w:rsid w:val="15E869E1"/>
    <w:rsid w:val="161B48EC"/>
    <w:rsid w:val="161D6473"/>
    <w:rsid w:val="16511C85"/>
    <w:rsid w:val="165B44BD"/>
    <w:rsid w:val="16A57605"/>
    <w:rsid w:val="16A912F5"/>
    <w:rsid w:val="16D07030"/>
    <w:rsid w:val="16E054AD"/>
    <w:rsid w:val="174560C4"/>
    <w:rsid w:val="17A728DB"/>
    <w:rsid w:val="17D13BB2"/>
    <w:rsid w:val="17ED5B62"/>
    <w:rsid w:val="18146329"/>
    <w:rsid w:val="1885680A"/>
    <w:rsid w:val="1921046B"/>
    <w:rsid w:val="197E58BE"/>
    <w:rsid w:val="199665F0"/>
    <w:rsid w:val="19A31619"/>
    <w:rsid w:val="19BA296B"/>
    <w:rsid w:val="19F416DC"/>
    <w:rsid w:val="1AB05F4B"/>
    <w:rsid w:val="1AC1776A"/>
    <w:rsid w:val="1AFD03BA"/>
    <w:rsid w:val="1B0E2C71"/>
    <w:rsid w:val="1B414922"/>
    <w:rsid w:val="1B6C06CA"/>
    <w:rsid w:val="1B9C64F9"/>
    <w:rsid w:val="1BFA25F6"/>
    <w:rsid w:val="1C1F0AD0"/>
    <w:rsid w:val="1C3D6200"/>
    <w:rsid w:val="1C497378"/>
    <w:rsid w:val="1C8A0808"/>
    <w:rsid w:val="1CC54535"/>
    <w:rsid w:val="1CC61A56"/>
    <w:rsid w:val="1CC90EF2"/>
    <w:rsid w:val="1CFF2872"/>
    <w:rsid w:val="1D1A76AB"/>
    <w:rsid w:val="1DA146C9"/>
    <w:rsid w:val="1DEF5284"/>
    <w:rsid w:val="1DF13F4F"/>
    <w:rsid w:val="1E107F6E"/>
    <w:rsid w:val="1E2B2550"/>
    <w:rsid w:val="1E90231B"/>
    <w:rsid w:val="1E9816B6"/>
    <w:rsid w:val="1EB77BDB"/>
    <w:rsid w:val="1F016D75"/>
    <w:rsid w:val="1F082CE5"/>
    <w:rsid w:val="1F0B1259"/>
    <w:rsid w:val="1F2806C2"/>
    <w:rsid w:val="1FB45A2D"/>
    <w:rsid w:val="201725C8"/>
    <w:rsid w:val="203859CE"/>
    <w:rsid w:val="20846B9F"/>
    <w:rsid w:val="20AF7FAD"/>
    <w:rsid w:val="20BB34F6"/>
    <w:rsid w:val="20FC58D6"/>
    <w:rsid w:val="2108134E"/>
    <w:rsid w:val="213F730F"/>
    <w:rsid w:val="214D05D1"/>
    <w:rsid w:val="21B34E51"/>
    <w:rsid w:val="220B7F0B"/>
    <w:rsid w:val="2210107D"/>
    <w:rsid w:val="223E525B"/>
    <w:rsid w:val="22944046"/>
    <w:rsid w:val="232A3677"/>
    <w:rsid w:val="233B7757"/>
    <w:rsid w:val="2350467A"/>
    <w:rsid w:val="235A6204"/>
    <w:rsid w:val="241D3810"/>
    <w:rsid w:val="24462D04"/>
    <w:rsid w:val="247D6215"/>
    <w:rsid w:val="248E6558"/>
    <w:rsid w:val="249912A2"/>
    <w:rsid w:val="24B50142"/>
    <w:rsid w:val="250A6D32"/>
    <w:rsid w:val="25DD0DC4"/>
    <w:rsid w:val="25F56F08"/>
    <w:rsid w:val="260564DC"/>
    <w:rsid w:val="2613450F"/>
    <w:rsid w:val="26720558"/>
    <w:rsid w:val="26EE148E"/>
    <w:rsid w:val="27664A12"/>
    <w:rsid w:val="27D35DCF"/>
    <w:rsid w:val="28313DEE"/>
    <w:rsid w:val="285A4AF4"/>
    <w:rsid w:val="28E14CDF"/>
    <w:rsid w:val="291A315C"/>
    <w:rsid w:val="29246D2B"/>
    <w:rsid w:val="292C49EE"/>
    <w:rsid w:val="297B6E44"/>
    <w:rsid w:val="29DE36B2"/>
    <w:rsid w:val="29E918A1"/>
    <w:rsid w:val="2A7E571E"/>
    <w:rsid w:val="2A866DCB"/>
    <w:rsid w:val="2AC45370"/>
    <w:rsid w:val="2B0A1D4E"/>
    <w:rsid w:val="2B3E7992"/>
    <w:rsid w:val="2B404781"/>
    <w:rsid w:val="2B9D6077"/>
    <w:rsid w:val="2BB23375"/>
    <w:rsid w:val="2C1D4AC2"/>
    <w:rsid w:val="2C5C1A8E"/>
    <w:rsid w:val="2C9E1FFB"/>
    <w:rsid w:val="2CA25DE5"/>
    <w:rsid w:val="2CC2654B"/>
    <w:rsid w:val="2DA82AB1"/>
    <w:rsid w:val="2DCC62A5"/>
    <w:rsid w:val="2DCF4FF1"/>
    <w:rsid w:val="2E0852FA"/>
    <w:rsid w:val="2E155912"/>
    <w:rsid w:val="2E502DC6"/>
    <w:rsid w:val="2E6966E5"/>
    <w:rsid w:val="2E725599"/>
    <w:rsid w:val="2EC50501"/>
    <w:rsid w:val="2EDE5AAB"/>
    <w:rsid w:val="2EE06191"/>
    <w:rsid w:val="2EEE7860"/>
    <w:rsid w:val="2F266384"/>
    <w:rsid w:val="2F283EAA"/>
    <w:rsid w:val="2F875CE2"/>
    <w:rsid w:val="2F8D7F02"/>
    <w:rsid w:val="304068BA"/>
    <w:rsid w:val="30AC4667"/>
    <w:rsid w:val="30D32C5B"/>
    <w:rsid w:val="31030518"/>
    <w:rsid w:val="313872AA"/>
    <w:rsid w:val="32171FB4"/>
    <w:rsid w:val="322F72FD"/>
    <w:rsid w:val="328D25DB"/>
    <w:rsid w:val="329D36D6"/>
    <w:rsid w:val="329E25C1"/>
    <w:rsid w:val="330B12A9"/>
    <w:rsid w:val="332734B3"/>
    <w:rsid w:val="333B5E69"/>
    <w:rsid w:val="3350450F"/>
    <w:rsid w:val="335F1CAB"/>
    <w:rsid w:val="337D7173"/>
    <w:rsid w:val="33A70C7C"/>
    <w:rsid w:val="33B835ED"/>
    <w:rsid w:val="34FE664D"/>
    <w:rsid w:val="353558D8"/>
    <w:rsid w:val="354D1FAD"/>
    <w:rsid w:val="35984A3F"/>
    <w:rsid w:val="35F00009"/>
    <w:rsid w:val="36364A10"/>
    <w:rsid w:val="36657FCA"/>
    <w:rsid w:val="36946EA9"/>
    <w:rsid w:val="377D13C7"/>
    <w:rsid w:val="385201EA"/>
    <w:rsid w:val="3862042D"/>
    <w:rsid w:val="38BF587F"/>
    <w:rsid w:val="38CF6043"/>
    <w:rsid w:val="390A58BB"/>
    <w:rsid w:val="394065AC"/>
    <w:rsid w:val="39B637EC"/>
    <w:rsid w:val="39D07618"/>
    <w:rsid w:val="3A035551"/>
    <w:rsid w:val="3A51719F"/>
    <w:rsid w:val="3ADE4A86"/>
    <w:rsid w:val="3B732F87"/>
    <w:rsid w:val="3C7B643C"/>
    <w:rsid w:val="3C9D07FF"/>
    <w:rsid w:val="3CE12104"/>
    <w:rsid w:val="3D0D60A1"/>
    <w:rsid w:val="3D137B25"/>
    <w:rsid w:val="3D8712F6"/>
    <w:rsid w:val="3D956BAE"/>
    <w:rsid w:val="3DE73182"/>
    <w:rsid w:val="3DF6228E"/>
    <w:rsid w:val="3E1E3500"/>
    <w:rsid w:val="3EC23263"/>
    <w:rsid w:val="3F56429A"/>
    <w:rsid w:val="3F6D6236"/>
    <w:rsid w:val="3FAC58EE"/>
    <w:rsid w:val="3FB113D4"/>
    <w:rsid w:val="401A0871"/>
    <w:rsid w:val="40300E10"/>
    <w:rsid w:val="405B04D4"/>
    <w:rsid w:val="40890B4D"/>
    <w:rsid w:val="408B20B7"/>
    <w:rsid w:val="41384420"/>
    <w:rsid w:val="426E79CE"/>
    <w:rsid w:val="42781CFD"/>
    <w:rsid w:val="43497B64"/>
    <w:rsid w:val="43682CA4"/>
    <w:rsid w:val="436A4639"/>
    <w:rsid w:val="43923C20"/>
    <w:rsid w:val="43F04997"/>
    <w:rsid w:val="44B47BC3"/>
    <w:rsid w:val="44C939EF"/>
    <w:rsid w:val="455D2F46"/>
    <w:rsid w:val="456B6447"/>
    <w:rsid w:val="45D10D87"/>
    <w:rsid w:val="45FC404F"/>
    <w:rsid w:val="460A7715"/>
    <w:rsid w:val="460D2839"/>
    <w:rsid w:val="46B563A9"/>
    <w:rsid w:val="46C47037"/>
    <w:rsid w:val="46E42549"/>
    <w:rsid w:val="46EF4D27"/>
    <w:rsid w:val="474358CD"/>
    <w:rsid w:val="47726F16"/>
    <w:rsid w:val="477912EF"/>
    <w:rsid w:val="47C6421B"/>
    <w:rsid w:val="47E02C74"/>
    <w:rsid w:val="481132D5"/>
    <w:rsid w:val="4823125B"/>
    <w:rsid w:val="484E3154"/>
    <w:rsid w:val="488C3E72"/>
    <w:rsid w:val="48B52FCC"/>
    <w:rsid w:val="49084FED"/>
    <w:rsid w:val="49350C9F"/>
    <w:rsid w:val="49981C7C"/>
    <w:rsid w:val="4A075B71"/>
    <w:rsid w:val="4A0846EE"/>
    <w:rsid w:val="4A0C3795"/>
    <w:rsid w:val="4A3D4856"/>
    <w:rsid w:val="4A4F6337"/>
    <w:rsid w:val="4A513E5D"/>
    <w:rsid w:val="4A6D3C51"/>
    <w:rsid w:val="4A84767E"/>
    <w:rsid w:val="4B2E7959"/>
    <w:rsid w:val="4B69602F"/>
    <w:rsid w:val="4BAF316E"/>
    <w:rsid w:val="4BEA4569"/>
    <w:rsid w:val="4BEE156E"/>
    <w:rsid w:val="4C382619"/>
    <w:rsid w:val="4C602A7D"/>
    <w:rsid w:val="4D2A40E0"/>
    <w:rsid w:val="4D6C2472"/>
    <w:rsid w:val="4D752558"/>
    <w:rsid w:val="4DBE3EFF"/>
    <w:rsid w:val="4E4906F8"/>
    <w:rsid w:val="4E706752"/>
    <w:rsid w:val="4EA2112B"/>
    <w:rsid w:val="4EC5306C"/>
    <w:rsid w:val="4F9B059D"/>
    <w:rsid w:val="50574928"/>
    <w:rsid w:val="510C08F5"/>
    <w:rsid w:val="510C4F82"/>
    <w:rsid w:val="514725D6"/>
    <w:rsid w:val="516A1CA8"/>
    <w:rsid w:val="52077375"/>
    <w:rsid w:val="5264375C"/>
    <w:rsid w:val="52E97480"/>
    <w:rsid w:val="533105E5"/>
    <w:rsid w:val="53471590"/>
    <w:rsid w:val="53553B74"/>
    <w:rsid w:val="5368753B"/>
    <w:rsid w:val="5480227C"/>
    <w:rsid w:val="548A67AA"/>
    <w:rsid w:val="54A76E41"/>
    <w:rsid w:val="54B8063D"/>
    <w:rsid w:val="54B814E6"/>
    <w:rsid w:val="54EE6540"/>
    <w:rsid w:val="559D43FA"/>
    <w:rsid w:val="566F0D4B"/>
    <w:rsid w:val="57197EBC"/>
    <w:rsid w:val="57436E8D"/>
    <w:rsid w:val="576E219E"/>
    <w:rsid w:val="577E665C"/>
    <w:rsid w:val="57AE2723"/>
    <w:rsid w:val="57B16F40"/>
    <w:rsid w:val="5812316E"/>
    <w:rsid w:val="582F7230"/>
    <w:rsid w:val="58842799"/>
    <w:rsid w:val="588806A0"/>
    <w:rsid w:val="58CA384E"/>
    <w:rsid w:val="59355FC3"/>
    <w:rsid w:val="59A120E1"/>
    <w:rsid w:val="59DF46C5"/>
    <w:rsid w:val="59E15D5C"/>
    <w:rsid w:val="5A346617"/>
    <w:rsid w:val="5A64292F"/>
    <w:rsid w:val="5A893A3E"/>
    <w:rsid w:val="5ACE7EB4"/>
    <w:rsid w:val="5ADA0928"/>
    <w:rsid w:val="5B1F60A1"/>
    <w:rsid w:val="5BBB1A7E"/>
    <w:rsid w:val="5C076AF5"/>
    <w:rsid w:val="5C245001"/>
    <w:rsid w:val="5C702010"/>
    <w:rsid w:val="5D595A4A"/>
    <w:rsid w:val="5D5E2A6D"/>
    <w:rsid w:val="5D785F45"/>
    <w:rsid w:val="5D7872DE"/>
    <w:rsid w:val="5DB03524"/>
    <w:rsid w:val="5E45474A"/>
    <w:rsid w:val="5E4F4700"/>
    <w:rsid w:val="5E6957C1"/>
    <w:rsid w:val="5E8034A2"/>
    <w:rsid w:val="5E8D6895"/>
    <w:rsid w:val="5F1D0763"/>
    <w:rsid w:val="5F417E99"/>
    <w:rsid w:val="5F6069D5"/>
    <w:rsid w:val="5FAF18FA"/>
    <w:rsid w:val="5FBF1411"/>
    <w:rsid w:val="60256D51"/>
    <w:rsid w:val="60A36AF4"/>
    <w:rsid w:val="60AB0C37"/>
    <w:rsid w:val="60CD22A0"/>
    <w:rsid w:val="619D39D4"/>
    <w:rsid w:val="61B87723"/>
    <w:rsid w:val="6220088D"/>
    <w:rsid w:val="625C5D48"/>
    <w:rsid w:val="62E95123"/>
    <w:rsid w:val="63036478"/>
    <w:rsid w:val="63047DA9"/>
    <w:rsid w:val="63772C4E"/>
    <w:rsid w:val="639332E1"/>
    <w:rsid w:val="6393733A"/>
    <w:rsid w:val="63997C0B"/>
    <w:rsid w:val="63D43AF1"/>
    <w:rsid w:val="63D748EB"/>
    <w:rsid w:val="63DE1A37"/>
    <w:rsid w:val="63FE33B6"/>
    <w:rsid w:val="642918FB"/>
    <w:rsid w:val="642F01B4"/>
    <w:rsid w:val="64F72EA2"/>
    <w:rsid w:val="65004C42"/>
    <w:rsid w:val="65467734"/>
    <w:rsid w:val="655F4444"/>
    <w:rsid w:val="65887ABB"/>
    <w:rsid w:val="65982891"/>
    <w:rsid w:val="659C52AD"/>
    <w:rsid w:val="65E51CB7"/>
    <w:rsid w:val="65EB7404"/>
    <w:rsid w:val="662A08F5"/>
    <w:rsid w:val="6685272F"/>
    <w:rsid w:val="668B78A4"/>
    <w:rsid w:val="669F620F"/>
    <w:rsid w:val="66A23D7D"/>
    <w:rsid w:val="66A456FB"/>
    <w:rsid w:val="66B06F8E"/>
    <w:rsid w:val="66B41B84"/>
    <w:rsid w:val="66C8504F"/>
    <w:rsid w:val="66D52415"/>
    <w:rsid w:val="66E702AC"/>
    <w:rsid w:val="671C6E46"/>
    <w:rsid w:val="672F697E"/>
    <w:rsid w:val="675C3383"/>
    <w:rsid w:val="6778688E"/>
    <w:rsid w:val="67D00FF5"/>
    <w:rsid w:val="683B40C3"/>
    <w:rsid w:val="686B7203"/>
    <w:rsid w:val="68806041"/>
    <w:rsid w:val="689E25EE"/>
    <w:rsid w:val="68AC1D48"/>
    <w:rsid w:val="68B940CC"/>
    <w:rsid w:val="68DC65D6"/>
    <w:rsid w:val="68E80A0C"/>
    <w:rsid w:val="68FE744E"/>
    <w:rsid w:val="699B20FD"/>
    <w:rsid w:val="69C54B4D"/>
    <w:rsid w:val="6A815C41"/>
    <w:rsid w:val="6AA55F17"/>
    <w:rsid w:val="6AA87672"/>
    <w:rsid w:val="6AAC05F2"/>
    <w:rsid w:val="6ABC68A9"/>
    <w:rsid w:val="6B960BEF"/>
    <w:rsid w:val="6C070A94"/>
    <w:rsid w:val="6C135840"/>
    <w:rsid w:val="6C841A18"/>
    <w:rsid w:val="6CA703A3"/>
    <w:rsid w:val="6CC2656C"/>
    <w:rsid w:val="6CF52916"/>
    <w:rsid w:val="6CF546C4"/>
    <w:rsid w:val="6D194857"/>
    <w:rsid w:val="6D72538E"/>
    <w:rsid w:val="6DF4750B"/>
    <w:rsid w:val="6E2E60E0"/>
    <w:rsid w:val="6E5F273D"/>
    <w:rsid w:val="6E6F5FD1"/>
    <w:rsid w:val="6E767BAF"/>
    <w:rsid w:val="6F056FAE"/>
    <w:rsid w:val="6F0C1BBE"/>
    <w:rsid w:val="6F5074C1"/>
    <w:rsid w:val="6FD2104B"/>
    <w:rsid w:val="6FF13DA0"/>
    <w:rsid w:val="701B513D"/>
    <w:rsid w:val="70752AB8"/>
    <w:rsid w:val="70A13EE9"/>
    <w:rsid w:val="70D72A5F"/>
    <w:rsid w:val="717E737E"/>
    <w:rsid w:val="71941407"/>
    <w:rsid w:val="71C64991"/>
    <w:rsid w:val="71F146FA"/>
    <w:rsid w:val="72276200"/>
    <w:rsid w:val="72441D49"/>
    <w:rsid w:val="729B2E6D"/>
    <w:rsid w:val="72A526E9"/>
    <w:rsid w:val="72C85F76"/>
    <w:rsid w:val="730E667C"/>
    <w:rsid w:val="73441CC9"/>
    <w:rsid w:val="73A11102"/>
    <w:rsid w:val="7468779E"/>
    <w:rsid w:val="751E5BB9"/>
    <w:rsid w:val="759301F0"/>
    <w:rsid w:val="75B415C0"/>
    <w:rsid w:val="765E152C"/>
    <w:rsid w:val="767059A9"/>
    <w:rsid w:val="76B32CD4"/>
    <w:rsid w:val="77122A29"/>
    <w:rsid w:val="77803575"/>
    <w:rsid w:val="778E2876"/>
    <w:rsid w:val="779C3DCF"/>
    <w:rsid w:val="77A458E3"/>
    <w:rsid w:val="77FE760F"/>
    <w:rsid w:val="781A4035"/>
    <w:rsid w:val="78393E77"/>
    <w:rsid w:val="788039DC"/>
    <w:rsid w:val="789361F5"/>
    <w:rsid w:val="78A376CA"/>
    <w:rsid w:val="78FB5758"/>
    <w:rsid w:val="79A350C4"/>
    <w:rsid w:val="79A454A8"/>
    <w:rsid w:val="79B64824"/>
    <w:rsid w:val="7A181388"/>
    <w:rsid w:val="7A215505"/>
    <w:rsid w:val="7A3F1E38"/>
    <w:rsid w:val="7A5A4C05"/>
    <w:rsid w:val="7A955F05"/>
    <w:rsid w:val="7ABF087A"/>
    <w:rsid w:val="7B0D654F"/>
    <w:rsid w:val="7B136D89"/>
    <w:rsid w:val="7B3C605A"/>
    <w:rsid w:val="7B4F465D"/>
    <w:rsid w:val="7B79766B"/>
    <w:rsid w:val="7B7B75B2"/>
    <w:rsid w:val="7C041228"/>
    <w:rsid w:val="7C5E5259"/>
    <w:rsid w:val="7C855A65"/>
    <w:rsid w:val="7C92113E"/>
    <w:rsid w:val="7CF06519"/>
    <w:rsid w:val="7CF41502"/>
    <w:rsid w:val="7D2955BD"/>
    <w:rsid w:val="7D386ED1"/>
    <w:rsid w:val="7D3C3BE5"/>
    <w:rsid w:val="7D483596"/>
    <w:rsid w:val="7D7124B5"/>
    <w:rsid w:val="7DB61442"/>
    <w:rsid w:val="7DF71799"/>
    <w:rsid w:val="7E13212B"/>
    <w:rsid w:val="7E244EA5"/>
    <w:rsid w:val="7E3572DE"/>
    <w:rsid w:val="7E644FC7"/>
    <w:rsid w:val="7E6C665B"/>
    <w:rsid w:val="7E8F3473"/>
    <w:rsid w:val="7F657D9F"/>
    <w:rsid w:val="7F7C2C58"/>
    <w:rsid w:val="7FC469EB"/>
    <w:rsid w:val="7FC70160"/>
    <w:rsid w:val="7FEE1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2"/>
      <w:sz w:val="32"/>
      <w:szCs w:val="22"/>
      <w:lang w:val="en-US" w:eastAsia="zh-CN" w:bidi="ar-SA"/>
    </w:rPr>
  </w:style>
  <w:style w:type="paragraph" w:styleId="2">
    <w:name w:val="heading 1"/>
    <w:basedOn w:val="1"/>
    <w:next w:val="1"/>
    <w:link w:val="35"/>
    <w:qFormat/>
    <w:uiPriority w:val="9"/>
    <w:pPr>
      <w:keepNext/>
      <w:keepLines/>
      <w:spacing w:line="560" w:lineRule="exact"/>
      <w:ind w:firstLine="472" w:firstLineChars="200"/>
      <w:outlineLvl w:val="0"/>
    </w:pPr>
    <w:rPr>
      <w:rFonts w:eastAsia="黑体"/>
      <w:b/>
      <w:bCs/>
      <w:kern w:val="44"/>
      <w:szCs w:val="44"/>
    </w:rPr>
  </w:style>
  <w:style w:type="paragraph" w:styleId="3">
    <w:name w:val="heading 2"/>
    <w:basedOn w:val="1"/>
    <w:next w:val="1"/>
    <w:link w:val="33"/>
    <w:unhideWhenUsed/>
    <w:qFormat/>
    <w:uiPriority w:val="9"/>
    <w:pPr>
      <w:keepNext/>
      <w:keepLines/>
      <w:spacing w:line="560" w:lineRule="exact"/>
      <w:ind w:firstLine="354" w:firstLineChars="150"/>
      <w:outlineLvl w:val="1"/>
    </w:pPr>
    <w:rPr>
      <w:rFonts w:eastAsia="楷体" w:asciiTheme="majorHAnsi" w:hAnsiTheme="majorHAnsi" w:cstheme="majorBidi"/>
      <w:bCs/>
      <w:szCs w:val="32"/>
    </w:rPr>
  </w:style>
  <w:style w:type="paragraph" w:styleId="4">
    <w:name w:val="heading 3"/>
    <w:basedOn w:val="1"/>
    <w:next w:val="1"/>
    <w:link w:val="36"/>
    <w:unhideWhenUsed/>
    <w:qFormat/>
    <w:uiPriority w:val="0"/>
    <w:pPr>
      <w:keepNext/>
      <w:keepLines/>
      <w:spacing w:before="260" w:after="260" w:line="416" w:lineRule="auto"/>
      <w:outlineLvl w:val="2"/>
    </w:pPr>
    <w:rPr>
      <w:b/>
      <w:bCs/>
      <w:szCs w:val="32"/>
    </w:rPr>
  </w:style>
  <w:style w:type="paragraph" w:styleId="5">
    <w:name w:val="heading 4"/>
    <w:basedOn w:val="1"/>
    <w:next w:val="1"/>
    <w:semiHidden/>
    <w:unhideWhenUsed/>
    <w:qFormat/>
    <w:uiPriority w:val="9"/>
    <w:pPr>
      <w:keepNext/>
      <w:keepLines/>
      <w:spacing w:before="280" w:after="290" w:line="372" w:lineRule="auto"/>
      <w:outlineLvl w:val="3"/>
    </w:pPr>
    <w:rPr>
      <w:rFonts w:ascii="Arial" w:hAnsi="Arial" w:eastAsia="黑体"/>
      <w:b/>
      <w:sz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napToGrid w:val="0"/>
      <w:spacing w:line="300" w:lineRule="auto"/>
      <w:ind w:firstLine="556"/>
    </w:pPr>
    <w:rPr>
      <w:rFonts w:ascii="仿宋_GB2312" w:eastAsia="仿宋_GB2312"/>
      <w:sz w:val="28"/>
    </w:rPr>
  </w:style>
  <w:style w:type="paragraph" w:styleId="7">
    <w:name w:val="annotation text"/>
    <w:basedOn w:val="1"/>
    <w:link w:val="41"/>
    <w:semiHidden/>
    <w:unhideWhenUsed/>
    <w:qFormat/>
    <w:uiPriority w:val="99"/>
    <w:pPr>
      <w:jc w:val="left"/>
    </w:pPr>
  </w:style>
  <w:style w:type="paragraph" w:styleId="8">
    <w:name w:val="Body Text"/>
    <w:basedOn w:val="1"/>
    <w:link w:val="44"/>
    <w:qFormat/>
    <w:uiPriority w:val="1"/>
    <w:pPr>
      <w:spacing w:line="600" w:lineRule="exact"/>
      <w:ind w:firstLine="883" w:firstLineChars="200"/>
      <w:jc w:val="left"/>
    </w:pPr>
    <w:rPr>
      <w:rFonts w:ascii="仿宋" w:hAnsi="仿宋" w:cs="仿宋"/>
      <w:szCs w:val="32"/>
      <w:lang w:val="zh-CN" w:bidi="zh-CN"/>
    </w:rPr>
  </w:style>
  <w:style w:type="paragraph" w:styleId="9">
    <w:name w:val="Body Text Indent"/>
    <w:basedOn w:val="1"/>
    <w:semiHidden/>
    <w:unhideWhenUsed/>
    <w:qFormat/>
    <w:uiPriority w:val="99"/>
    <w:pPr>
      <w:spacing w:after="120"/>
      <w:ind w:left="420" w:leftChars="200"/>
    </w:pPr>
  </w:style>
  <w:style w:type="paragraph" w:styleId="10">
    <w:name w:val="toc 3"/>
    <w:basedOn w:val="1"/>
    <w:next w:val="1"/>
    <w:unhideWhenUsed/>
    <w:qFormat/>
    <w:uiPriority w:val="39"/>
    <w:pPr>
      <w:ind w:left="840" w:leftChars="400"/>
    </w:pPr>
  </w:style>
  <w:style w:type="paragraph" w:styleId="11">
    <w:name w:val="Plain Text"/>
    <w:basedOn w:val="1"/>
    <w:qFormat/>
    <w:uiPriority w:val="0"/>
    <w:rPr>
      <w:rFonts w:ascii="宋体" w:hAnsi="Courier New" w:cs="Courier New"/>
      <w:szCs w:val="21"/>
    </w:rPr>
  </w:style>
  <w:style w:type="paragraph" w:styleId="12">
    <w:name w:val="Date"/>
    <w:basedOn w:val="1"/>
    <w:next w:val="1"/>
    <w:link w:val="40"/>
    <w:semiHidden/>
    <w:unhideWhenUsed/>
    <w:qFormat/>
    <w:uiPriority w:val="99"/>
    <w:pPr>
      <w:ind w:left="100" w:leftChars="2500"/>
    </w:pPr>
  </w:style>
  <w:style w:type="paragraph" w:styleId="13">
    <w:name w:val="Balloon Text"/>
    <w:basedOn w:val="1"/>
    <w:link w:val="37"/>
    <w:semiHidden/>
    <w:unhideWhenUsed/>
    <w:qFormat/>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next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ascii="Times New Roman" w:hAnsi="Times New Roman" w:eastAsia="黑体"/>
    </w:rPr>
  </w:style>
  <w:style w:type="paragraph" w:styleId="17">
    <w:name w:val="toc 2"/>
    <w:basedOn w:val="1"/>
    <w:next w:val="1"/>
    <w:unhideWhenUsed/>
    <w:qFormat/>
    <w:uiPriority w:val="39"/>
    <w:pPr>
      <w:ind w:left="474" w:leftChars="150"/>
    </w:pPr>
    <w:rPr>
      <w:rFonts w:ascii="Times New Roman" w:hAnsi="Times New Roman" w:eastAsia="楷体"/>
    </w:rPr>
  </w:style>
  <w:style w:type="paragraph" w:styleId="18">
    <w:name w:val="Normal (Web)"/>
    <w:basedOn w:val="1"/>
    <w:semiHidden/>
    <w:unhideWhenUsed/>
    <w:qFormat/>
    <w:uiPriority w:val="99"/>
    <w:pPr>
      <w:spacing w:beforeAutospacing="1" w:afterAutospacing="1"/>
      <w:jc w:val="left"/>
    </w:pPr>
    <w:rPr>
      <w:rFonts w:cs="Times New Roman"/>
      <w:kern w:val="0"/>
      <w:sz w:val="24"/>
    </w:rPr>
  </w:style>
  <w:style w:type="paragraph" w:styleId="19">
    <w:name w:val="annotation subject"/>
    <w:basedOn w:val="7"/>
    <w:next w:val="7"/>
    <w:link w:val="42"/>
    <w:semiHidden/>
    <w:unhideWhenUsed/>
    <w:qFormat/>
    <w:uiPriority w:val="99"/>
    <w:rPr>
      <w:b/>
      <w:bCs/>
    </w:rPr>
  </w:style>
  <w:style w:type="paragraph" w:styleId="20">
    <w:name w:val="Body Text First Indent 2"/>
    <w:basedOn w:val="9"/>
    <w:semiHidden/>
    <w:unhideWhenUsed/>
    <w:qFormat/>
    <w:uiPriority w:val="99"/>
    <w:pPr>
      <w:ind w:firstLine="420" w:firstLineChars="200"/>
    </w:p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FollowedHyperlink"/>
    <w:basedOn w:val="23"/>
    <w:semiHidden/>
    <w:unhideWhenUsed/>
    <w:qFormat/>
    <w:uiPriority w:val="99"/>
    <w:rPr>
      <w:color w:val="800080"/>
      <w:u w:val="none"/>
    </w:rPr>
  </w:style>
  <w:style w:type="character" w:styleId="26">
    <w:name w:val="Emphasis"/>
    <w:basedOn w:val="23"/>
    <w:qFormat/>
    <w:uiPriority w:val="20"/>
    <w:rPr>
      <w:i/>
      <w:iCs/>
    </w:rPr>
  </w:style>
  <w:style w:type="character" w:styleId="27">
    <w:name w:val="Hyperlink"/>
    <w:basedOn w:val="23"/>
    <w:unhideWhenUsed/>
    <w:qFormat/>
    <w:uiPriority w:val="99"/>
    <w:rPr>
      <w:color w:val="0563C1" w:themeColor="hyperlink"/>
      <w:u w:val="single"/>
      <w14:textFill>
        <w14:solidFill>
          <w14:schemeClr w14:val="hlink"/>
        </w14:solidFill>
      </w14:textFill>
    </w:rPr>
  </w:style>
  <w:style w:type="character" w:styleId="28">
    <w:name w:val="annotation reference"/>
    <w:basedOn w:val="23"/>
    <w:semiHidden/>
    <w:unhideWhenUsed/>
    <w:qFormat/>
    <w:uiPriority w:val="99"/>
    <w:rPr>
      <w:sz w:val="21"/>
      <w:szCs w:val="21"/>
    </w:rPr>
  </w:style>
  <w:style w:type="paragraph" w:styleId="29">
    <w:name w:val="No Spacing"/>
    <w:basedOn w:val="1"/>
    <w:qFormat/>
    <w:uiPriority w:val="0"/>
    <w:pPr>
      <w:widowControl w:val="0"/>
      <w:ind w:firstLine="200" w:firstLineChars="200"/>
      <w:jc w:val="both"/>
    </w:pPr>
    <w:rPr>
      <w:rFonts w:eastAsia="仿宋"/>
      <w:kern w:val="2"/>
      <w:sz w:val="30"/>
      <w:szCs w:val="24"/>
      <w:lang w:val="en-US" w:eastAsia="zh-CN" w:bidi="ar-SA"/>
    </w:rPr>
  </w:style>
  <w:style w:type="paragraph" w:customStyle="1" w:styleId="30">
    <w:name w:val="正文-公1"/>
    <w:basedOn w:val="1"/>
    <w:next w:val="15"/>
    <w:qFormat/>
    <w:uiPriority w:val="99"/>
    <w:pPr>
      <w:ind w:firstLine="200" w:firstLineChars="200"/>
    </w:pPr>
    <w:rPr>
      <w:color w:val="000000"/>
    </w:rPr>
  </w:style>
  <w:style w:type="character" w:customStyle="1" w:styleId="31">
    <w:name w:val="页眉 字符"/>
    <w:basedOn w:val="23"/>
    <w:link w:val="15"/>
    <w:qFormat/>
    <w:uiPriority w:val="99"/>
    <w:rPr>
      <w:sz w:val="18"/>
      <w:szCs w:val="18"/>
    </w:rPr>
  </w:style>
  <w:style w:type="character" w:customStyle="1" w:styleId="32">
    <w:name w:val="页脚 字符"/>
    <w:basedOn w:val="23"/>
    <w:link w:val="14"/>
    <w:qFormat/>
    <w:uiPriority w:val="99"/>
    <w:rPr>
      <w:sz w:val="18"/>
      <w:szCs w:val="18"/>
    </w:rPr>
  </w:style>
  <w:style w:type="character" w:customStyle="1" w:styleId="33">
    <w:name w:val="标题 2 字符"/>
    <w:basedOn w:val="23"/>
    <w:link w:val="3"/>
    <w:qFormat/>
    <w:uiPriority w:val="99"/>
    <w:rPr>
      <w:rFonts w:eastAsia="楷体" w:asciiTheme="majorHAnsi" w:hAnsiTheme="majorHAnsi" w:cstheme="majorBidi"/>
      <w:bCs/>
      <w:sz w:val="32"/>
      <w:szCs w:val="32"/>
    </w:rPr>
  </w:style>
  <w:style w:type="paragraph" w:customStyle="1" w:styleId="34">
    <w:name w:val="无间隔1"/>
    <w:qFormat/>
    <w:uiPriority w:val="99"/>
    <w:rPr>
      <w:rFonts w:ascii="Calibri" w:hAnsi="Calibri" w:eastAsia="宋体" w:cs="Calibri"/>
      <w:kern w:val="2"/>
      <w:sz w:val="21"/>
      <w:szCs w:val="21"/>
      <w:lang w:val="en-US" w:eastAsia="zh-CN" w:bidi="ar-SA"/>
    </w:rPr>
  </w:style>
  <w:style w:type="character" w:customStyle="1" w:styleId="35">
    <w:name w:val="标题 1 字符"/>
    <w:basedOn w:val="23"/>
    <w:link w:val="2"/>
    <w:qFormat/>
    <w:uiPriority w:val="9"/>
    <w:rPr>
      <w:rFonts w:eastAsia="黑体" w:asciiTheme="minorHAnsi" w:hAnsiTheme="minorHAnsi"/>
      <w:b/>
      <w:bCs/>
      <w:kern w:val="44"/>
      <w:sz w:val="32"/>
      <w:szCs w:val="44"/>
    </w:rPr>
  </w:style>
  <w:style w:type="character" w:customStyle="1" w:styleId="36">
    <w:name w:val="标题 3 字符"/>
    <w:basedOn w:val="23"/>
    <w:link w:val="4"/>
    <w:qFormat/>
    <w:uiPriority w:val="9"/>
    <w:rPr>
      <w:b/>
      <w:bCs/>
      <w:sz w:val="32"/>
      <w:szCs w:val="32"/>
    </w:rPr>
  </w:style>
  <w:style w:type="character" w:customStyle="1" w:styleId="37">
    <w:name w:val="批注框文本 字符"/>
    <w:basedOn w:val="23"/>
    <w:link w:val="13"/>
    <w:semiHidden/>
    <w:qFormat/>
    <w:uiPriority w:val="99"/>
    <w:rPr>
      <w:sz w:val="18"/>
      <w:szCs w:val="18"/>
    </w:rPr>
  </w:style>
  <w:style w:type="paragraph" w:customStyle="1" w:styleId="38">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val="0"/>
      <w:bCs w:val="0"/>
      <w:color w:val="2F5597" w:themeColor="accent1" w:themeShade="BF"/>
      <w:kern w:val="0"/>
      <w:szCs w:val="32"/>
    </w:rPr>
  </w:style>
  <w:style w:type="paragraph" w:styleId="39">
    <w:name w:val="List Paragraph"/>
    <w:basedOn w:val="1"/>
    <w:qFormat/>
    <w:uiPriority w:val="99"/>
    <w:pPr>
      <w:ind w:firstLine="420" w:firstLineChars="200"/>
    </w:pPr>
  </w:style>
  <w:style w:type="character" w:customStyle="1" w:styleId="40">
    <w:name w:val="日期 字符"/>
    <w:basedOn w:val="23"/>
    <w:link w:val="12"/>
    <w:semiHidden/>
    <w:qFormat/>
    <w:uiPriority w:val="99"/>
    <w:rPr>
      <w:kern w:val="2"/>
      <w:sz w:val="21"/>
      <w:szCs w:val="22"/>
    </w:rPr>
  </w:style>
  <w:style w:type="character" w:customStyle="1" w:styleId="41">
    <w:name w:val="批注文字 字符"/>
    <w:basedOn w:val="23"/>
    <w:link w:val="7"/>
    <w:semiHidden/>
    <w:qFormat/>
    <w:uiPriority w:val="99"/>
    <w:rPr>
      <w:rFonts w:asciiTheme="minorHAnsi" w:hAnsiTheme="minorHAnsi" w:eastAsiaTheme="minorEastAsia" w:cstheme="minorBidi"/>
      <w:kern w:val="2"/>
      <w:sz w:val="21"/>
      <w:szCs w:val="22"/>
    </w:rPr>
  </w:style>
  <w:style w:type="character" w:customStyle="1" w:styleId="42">
    <w:name w:val="批注主题 字符"/>
    <w:basedOn w:val="41"/>
    <w:link w:val="19"/>
    <w:semiHidden/>
    <w:qFormat/>
    <w:uiPriority w:val="99"/>
    <w:rPr>
      <w:rFonts w:asciiTheme="minorHAnsi" w:hAnsiTheme="minorHAnsi" w:eastAsiaTheme="minorEastAsia" w:cstheme="minorBidi"/>
      <w:b/>
      <w:bCs/>
      <w:kern w:val="2"/>
      <w:sz w:val="21"/>
      <w:szCs w:val="22"/>
    </w:rPr>
  </w:style>
  <w:style w:type="paragraph" w:customStyle="1" w:styleId="4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4">
    <w:name w:val="正文文本 字符"/>
    <w:basedOn w:val="23"/>
    <w:link w:val="8"/>
    <w:qFormat/>
    <w:uiPriority w:val="1"/>
    <w:rPr>
      <w:rFonts w:ascii="仿宋" w:hAnsi="仿宋" w:eastAsia="仿宋" w:cs="仿宋"/>
      <w:kern w:val="2"/>
      <w:sz w:val="32"/>
      <w:szCs w:val="32"/>
      <w:lang w:val="zh-CN" w:bidi="zh-CN"/>
    </w:rPr>
  </w:style>
  <w:style w:type="character" w:customStyle="1" w:styleId="45">
    <w:name w:val="标题 2 Char1"/>
    <w:qFormat/>
    <w:uiPriority w:val="0"/>
    <w:rPr>
      <w:rFonts w:ascii="Arial" w:hAnsi="Arial" w:eastAsia="方正仿宋_GBK"/>
      <w:sz w:val="32"/>
    </w:rPr>
  </w:style>
  <w:style w:type="character" w:customStyle="1" w:styleId="46">
    <w:name w:val="标题 3 Char"/>
    <w:qFormat/>
    <w:uiPriority w:val="0"/>
    <w:rPr>
      <w:rFonts w:ascii="Calibri" w:hAnsi="Calibri" w:eastAsia="宋体"/>
      <w:bCs/>
      <w:sz w:val="24"/>
      <w:szCs w:val="32"/>
    </w:rPr>
  </w:style>
  <w:style w:type="paragraph" w:customStyle="1" w:styleId="47">
    <w:name w:val="Table Paragraph"/>
    <w:basedOn w:val="1"/>
    <w:qFormat/>
    <w:uiPriority w:val="1"/>
  </w:style>
  <w:style w:type="paragraph" w:customStyle="1" w:styleId="48">
    <w:name w:val="一级标题"/>
    <w:basedOn w:val="3"/>
    <w:next w:val="1"/>
    <w:qFormat/>
    <w:uiPriority w:val="0"/>
    <w:pPr>
      <w:spacing w:line="600" w:lineRule="exact"/>
      <w:outlineLvl w:val="0"/>
    </w:pPr>
    <w:rPr>
      <w:rFonts w:ascii="Arial" w:hAnsi="Arial" w:eastAsia="黑体" w:cs="Times New Roman"/>
      <w:bCs w:val="0"/>
      <w:szCs w:val="20"/>
    </w:rPr>
  </w:style>
  <w:style w:type="paragraph" w:customStyle="1" w:styleId="49">
    <w:name w:val="p0"/>
    <w:basedOn w:val="1"/>
    <w:unhideWhenUsed/>
    <w:qFormat/>
    <w:uiPriority w:val="0"/>
    <w:pPr>
      <w:widowControl/>
      <w:jc w:val="left"/>
    </w:pPr>
    <w:rPr>
      <w:rFonts w:hint="eastAsia" w:ascii="Times New Roman" w:hAnsi="Times New Roman"/>
      <w:sz w:val="20"/>
    </w:rPr>
  </w:style>
  <w:style w:type="character" w:customStyle="1" w:styleId="50">
    <w:name w:val="font01"/>
    <w:basedOn w:val="23"/>
    <w:qFormat/>
    <w:uiPriority w:val="0"/>
    <w:rPr>
      <w:rFonts w:hint="eastAsia" w:ascii="宋体" w:hAnsi="宋体" w:eastAsia="宋体" w:cs="宋体"/>
      <w:color w:val="000000"/>
      <w:sz w:val="22"/>
      <w:szCs w:val="22"/>
      <w:u w:val="none"/>
    </w:rPr>
  </w:style>
  <w:style w:type="character" w:customStyle="1" w:styleId="51">
    <w:name w:val="font21"/>
    <w:basedOn w:val="23"/>
    <w:qFormat/>
    <w:uiPriority w:val="0"/>
    <w:rPr>
      <w:rFonts w:hint="eastAsia" w:ascii="宋体" w:hAnsi="宋体" w:eastAsia="宋体" w:cs="宋体"/>
      <w:color w:val="FF0000"/>
      <w:sz w:val="22"/>
      <w:szCs w:val="22"/>
      <w:u w:val="none"/>
    </w:rPr>
  </w:style>
  <w:style w:type="character" w:customStyle="1" w:styleId="52">
    <w:name w:val="font11"/>
    <w:basedOn w:val="23"/>
    <w:qFormat/>
    <w:uiPriority w:val="0"/>
    <w:rPr>
      <w:rFonts w:hint="eastAsia" w:ascii="宋体" w:hAnsi="宋体" w:eastAsia="宋体" w:cs="宋体"/>
      <w:color w:val="000000"/>
      <w:sz w:val="22"/>
      <w:szCs w:val="22"/>
      <w:u w:val="none"/>
    </w:rPr>
  </w:style>
  <w:style w:type="character" w:customStyle="1" w:styleId="53">
    <w:name w:val="font31"/>
    <w:basedOn w:val="23"/>
    <w:qFormat/>
    <w:uiPriority w:val="0"/>
    <w:rPr>
      <w:rFonts w:hint="eastAsia" w:ascii="宋体" w:hAnsi="宋体" w:eastAsia="宋体" w:cs="宋体"/>
      <w:b/>
      <w:bCs/>
      <w:color w:val="000000"/>
      <w:sz w:val="20"/>
      <w:szCs w:val="20"/>
      <w:u w:val="none"/>
    </w:rPr>
  </w:style>
  <w:style w:type="character" w:customStyle="1" w:styleId="54">
    <w:name w:val="font61"/>
    <w:basedOn w:val="23"/>
    <w:qFormat/>
    <w:uiPriority w:val="0"/>
    <w:rPr>
      <w:rFonts w:hint="default" w:ascii="Arial Narrow" w:hAnsi="Arial Narrow" w:eastAsia="Arial Narrow" w:cs="Arial Narrow"/>
      <w:color w:val="000000"/>
      <w:sz w:val="20"/>
      <w:szCs w:val="20"/>
      <w:u w:val="none"/>
    </w:rPr>
  </w:style>
  <w:style w:type="character" w:customStyle="1" w:styleId="55">
    <w:name w:val="font81"/>
    <w:basedOn w:val="23"/>
    <w:qFormat/>
    <w:uiPriority w:val="0"/>
    <w:rPr>
      <w:rFonts w:hint="eastAsia" w:ascii="宋体" w:hAnsi="宋体" w:eastAsia="宋体" w:cs="宋体"/>
      <w:color w:val="000000"/>
      <w:sz w:val="20"/>
      <w:szCs w:val="20"/>
      <w:u w:val="none"/>
    </w:rPr>
  </w:style>
  <w:style w:type="table" w:customStyle="1" w:styleId="5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FD89A-E256-4C5F-BC41-1B0DB24D79B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7530</Words>
  <Characters>8334</Characters>
  <Lines>494</Lines>
  <Paragraphs>425</Paragraphs>
  <TotalTime>52</TotalTime>
  <ScaleCrop>false</ScaleCrop>
  <LinksUpToDate>false</LinksUpToDate>
  <CharactersWithSpaces>8392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2020-07-29T06:50:00Z</dcterms:created>
  <dc:creator>斯炜 陶</dc:creator>
  <cp:lastModifiedBy>CU❤I</cp:lastModifiedBy>
  <cp:lastPrinted>2023-11-25T02:32:00Z</cp:lastPrinted>
  <dcterms:modified xsi:type="dcterms:W3CDTF">2025-09-11T02:48:48Z</dcterms:modified>
  <dc:title>项目支出绩效评价报告</dc:title>
  <cp:revision>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C0E8A2B51AB2417BB72ED50C1665E990_13</vt:lpwstr>
  </property>
  <property fmtid="{D5CDD505-2E9C-101B-9397-08002B2CF9AE}" pid="4" name="KSOTemplateDocerSaveRecord">
    <vt:lpwstr>eyJoZGlkIjoiYTVhYjU5MDE0YmJjODU5OTliYmJmOGJjNWFmODcxYmEiLCJ1c2VySWQiOiI0MjUyNDYwNzAifQ==</vt:lpwstr>
  </property>
</Properties>
</file>