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1941CB">
      <w:pPr>
        <w:pStyle w:val="2"/>
        <w:widowControl/>
        <w:shd w:val="clear" w:color="auto" w:fill="FFFFFF"/>
        <w:spacing w:beforeAutospacing="0" w:afterAutospacing="0" w:line="600" w:lineRule="atLeast"/>
        <w:jc w:val="center"/>
        <w:rPr>
          <w:rFonts w:hint="default" w:ascii="Arial" w:hAnsi="Arial" w:cs="Arial"/>
          <w:sz w:val="36"/>
          <w:szCs w:val="36"/>
        </w:rPr>
      </w:pPr>
      <w:r>
        <w:rPr>
          <w:rFonts w:hint="default" w:ascii="Arial" w:hAnsi="Arial" w:cs="Arial"/>
          <w:sz w:val="36"/>
          <w:szCs w:val="36"/>
          <w:shd w:val="clear" w:color="auto" w:fill="FFFFFF"/>
        </w:rPr>
        <w:t>下陆区文化体育旅游服务中心2021年决算公开</w:t>
      </w:r>
    </w:p>
    <w:p w14:paraId="782F03E6">
      <w:pPr>
        <w:widowControl/>
        <w:shd w:val="clear" w:color="auto" w:fill="FFFFFF"/>
        <w:spacing w:line="420" w:lineRule="atLeast"/>
        <w:jc w:val="center"/>
        <w:rPr>
          <w:rFonts w:ascii="Arial" w:hAnsi="Arial" w:cs="Arial"/>
          <w:color w:val="000000"/>
          <w:szCs w:val="21"/>
        </w:rPr>
      </w:pPr>
      <w:r>
        <w:rPr>
          <w:rStyle w:val="8"/>
          <w:rFonts w:ascii="Arial" w:hAnsi="Arial" w:eastAsia="宋体" w:cs="Arial"/>
          <w:color w:val="000000"/>
          <w:kern w:val="0"/>
          <w:sz w:val="33"/>
          <w:szCs w:val="33"/>
          <w:shd w:val="clear" w:color="auto" w:fill="FFFFFF"/>
        </w:rPr>
        <w:t>目 　　 录</w:t>
      </w:r>
    </w:p>
    <w:p w14:paraId="019AE195">
      <w:pPr>
        <w:widowControl/>
        <w:shd w:val="clear" w:color="auto" w:fill="FFFFFF"/>
        <w:spacing w:line="400" w:lineRule="exact"/>
        <w:jc w:val="left"/>
        <w:rPr>
          <w:rStyle w:val="8"/>
          <w:rFonts w:ascii="宋体" w:hAnsi="宋体" w:eastAsia="宋体" w:cs="宋体"/>
          <w:color w:val="000000"/>
          <w:kern w:val="0"/>
          <w:sz w:val="24"/>
          <w:shd w:val="clear" w:color="auto" w:fill="FFFFFF"/>
        </w:rPr>
      </w:pPr>
      <w:r>
        <w:rPr>
          <w:rFonts w:ascii="Arial" w:hAnsi="Arial" w:eastAsia="宋体" w:cs="Arial"/>
          <w:color w:val="000000"/>
          <w:kern w:val="0"/>
          <w:szCs w:val="21"/>
          <w:shd w:val="clear" w:color="auto" w:fill="FFFFFF"/>
        </w:rPr>
        <w:t> </w:t>
      </w:r>
      <w:r>
        <w:rPr>
          <w:rFonts w:ascii="Arial" w:hAnsi="Arial" w:eastAsia="宋体" w:cs="Arial"/>
          <w:color w:val="000000"/>
          <w:kern w:val="0"/>
          <w:szCs w:val="21"/>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4"/>
          <w:shd w:val="clear" w:color="auto" w:fill="FFFFFF"/>
        </w:rPr>
        <w:br w:type="textWrapping"/>
      </w:r>
      <w:r>
        <w:rPr>
          <w:rFonts w:hint="eastAsia" w:ascii="宋体" w:hAnsi="宋体" w:eastAsia="宋体" w:cs="宋体"/>
          <w:color w:val="000000"/>
          <w:kern w:val="0"/>
          <w:sz w:val="28"/>
          <w:szCs w:val="28"/>
          <w:shd w:val="clear" w:color="auto" w:fill="FFFFFF"/>
        </w:rPr>
        <w:t> 一、部门主要职责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 二、部门机构设置情况</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第二部分: 部门2021年部门决算表</w:t>
      </w:r>
      <w:r>
        <w:rPr>
          <w:rFonts w:hint="eastAsia" w:ascii="宋体" w:hAnsi="宋体" w:eastAsia="宋体" w:cs="宋体"/>
          <w:color w:val="000000"/>
          <w:kern w:val="0"/>
          <w:sz w:val="24"/>
          <w:shd w:val="clear" w:color="auto" w:fill="FFFFFF"/>
        </w:rPr>
        <w:br w:type="textWrapping"/>
      </w:r>
      <w:r>
        <w:rPr>
          <w:rFonts w:hint="eastAsia" w:ascii="宋体" w:hAnsi="宋体" w:eastAsia="宋体" w:cs="宋体"/>
          <w:color w:val="000000"/>
          <w:kern w:val="0"/>
          <w:sz w:val="28"/>
          <w:szCs w:val="28"/>
          <w:shd w:val="clear" w:color="auto" w:fill="FFFFFF"/>
        </w:rPr>
        <w:t>一、收入支出决算总表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二、收入决算表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四、财政拨款收入支出决算总表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六、一般公共预算财政拨款基本支出决算表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七、一般公共预算财政拨款“三公”经费支出决算表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八、政府性基金预算财政拨款收入支出决算表     </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九、国有资本经营预算财政拨款支出决算表</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8"/>
          <w:szCs w:val="28"/>
          <w:shd w:val="clear" w:color="auto" w:fill="FFFFFF"/>
        </w:rPr>
        <w:t>第三部分：部门2021年部门决算情况说明</w:t>
      </w:r>
      <w:r>
        <w:rPr>
          <w:rFonts w:hint="eastAsia" w:ascii="宋体" w:hAnsi="宋体" w:eastAsia="宋体" w:cs="宋体"/>
          <w:color w:val="000000"/>
          <w:kern w:val="0"/>
          <w:sz w:val="24"/>
          <w:shd w:val="clear" w:color="auto" w:fill="FFFFFF"/>
        </w:rPr>
        <w:br w:type="textWrapping"/>
      </w:r>
      <w:r>
        <w:rPr>
          <w:rStyle w:val="8"/>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二、决算收入支出增减变化情况说明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七、机关运行费执行情况说明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八、政府采购支出情况说明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十一、预算绩效情况说明</w:t>
      </w:r>
      <w:r>
        <w:rPr>
          <w:rFonts w:hint="eastAsia" w:ascii="宋体" w:hAnsi="宋体" w:eastAsia="宋体" w:cs="宋体"/>
          <w:color w:val="000000"/>
          <w:kern w:val="0"/>
          <w:sz w:val="28"/>
          <w:szCs w:val="28"/>
          <w:shd w:val="clear" w:color="auto" w:fill="FFFFFF"/>
        </w:rPr>
        <w:br w:type="textWrapping"/>
      </w:r>
      <w:r>
        <w:rPr>
          <w:rStyle w:val="8"/>
          <w:rFonts w:hint="eastAsia" w:ascii="宋体" w:hAnsi="宋体" w:eastAsia="宋体" w:cs="宋体"/>
          <w:color w:val="000000"/>
          <w:kern w:val="0"/>
          <w:sz w:val="24"/>
          <w:shd w:val="clear" w:color="auto" w:fill="FFFFFF"/>
        </w:rPr>
        <w:t>第四部分、名词解释</w:t>
      </w:r>
    </w:p>
    <w:p w14:paraId="7E4AAF35">
      <w:pPr>
        <w:widowControl/>
        <w:shd w:val="clear" w:color="auto" w:fill="FFFFFF"/>
        <w:spacing w:line="400" w:lineRule="exact"/>
        <w:jc w:val="left"/>
        <w:rPr>
          <w:rStyle w:val="8"/>
          <w:rFonts w:ascii="宋体" w:hAnsi="宋体" w:eastAsia="宋体" w:cs="宋体"/>
          <w:color w:val="000000"/>
          <w:kern w:val="0"/>
          <w:sz w:val="24"/>
          <w:shd w:val="clear" w:color="auto" w:fill="FFFFFF"/>
        </w:rPr>
      </w:pPr>
    </w:p>
    <w:p w14:paraId="4FE88373">
      <w:pPr>
        <w:widowControl/>
        <w:shd w:val="clear" w:color="auto" w:fill="FFFFFF"/>
        <w:spacing w:line="400" w:lineRule="exact"/>
        <w:jc w:val="center"/>
        <w:rPr>
          <w:rFonts w:ascii="宋体" w:hAnsi="宋体" w:eastAsia="宋体" w:cs="宋体"/>
          <w:color w:val="000000"/>
          <w:sz w:val="24"/>
        </w:rPr>
      </w:pPr>
      <w:r>
        <w:rPr>
          <w:rStyle w:val="8"/>
          <w:rFonts w:hint="eastAsia" w:ascii="宋体" w:hAnsi="宋体" w:eastAsia="宋体" w:cs="宋体"/>
          <w:color w:val="000000"/>
          <w:kern w:val="0"/>
          <w:sz w:val="28"/>
          <w:szCs w:val="28"/>
          <w:shd w:val="clear" w:color="auto" w:fill="FFFFFF"/>
        </w:rPr>
        <w:t>黄石市下陆区文化体育旅游服务中心2021年度部门决算</w:t>
      </w:r>
    </w:p>
    <w:p w14:paraId="08AEAB7B">
      <w:pPr>
        <w:widowControl/>
        <w:spacing w:before="300"/>
        <w:jc w:val="left"/>
        <w:rPr>
          <w:rFonts w:hint="eastAsia"/>
          <w:snapToGrid w:val="0"/>
          <w:color w:val="000000"/>
          <w:w w:val="0"/>
          <w:sz w:val="0"/>
          <w:szCs w:val="0"/>
          <w:u w:color="000000"/>
          <w:shd w:val="clear" w:color="000000" w:fill="000000"/>
        </w:rPr>
      </w:pPr>
      <w:r>
        <w:rPr>
          <w:rFonts w:hint="eastAsia" w:ascii="宋体" w:hAnsi="宋体" w:eastAsia="宋体" w:cs="宋体"/>
          <w:color w:val="000000"/>
          <w:kern w:val="0"/>
          <w:sz w:val="24"/>
          <w:shd w:val="clear" w:color="auto" w:fill="FFFFFF"/>
        </w:rPr>
        <w:t> </w:t>
      </w:r>
      <w:r>
        <w:rPr>
          <w:rFonts w:hint="eastAsia" w:ascii="宋体" w:hAnsi="宋体" w:eastAsia="宋体" w:cs="宋体"/>
          <w:color w:val="000000"/>
          <w:kern w:val="0"/>
          <w:sz w:val="24"/>
          <w:shd w:val="clear" w:color="auto" w:fill="FFFFFF"/>
        </w:rPr>
        <w:br w:type="textWrapping"/>
      </w:r>
      <w:r>
        <w:rPr>
          <w:rStyle w:val="8"/>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4"/>
          <w:shd w:val="clear" w:color="auto" w:fill="FFFFFF"/>
        </w:rPr>
        <w:br w:type="textWrapping"/>
      </w:r>
      <w:r>
        <w:rPr>
          <w:rStyle w:val="8"/>
          <w:rFonts w:hint="eastAsia" w:ascii="宋体" w:hAnsi="宋体" w:eastAsia="宋体" w:cs="宋体"/>
          <w:color w:val="000000"/>
          <w:kern w:val="0"/>
          <w:sz w:val="28"/>
          <w:szCs w:val="28"/>
          <w:shd w:val="clear" w:color="auto" w:fill="FFFFFF"/>
        </w:rPr>
        <w:t>一、</w:t>
      </w:r>
      <w:r>
        <w:rPr>
          <w:rFonts w:hint="eastAsia" w:ascii="宋体" w:hAnsi="宋体" w:eastAsia="宋体" w:cs="宋体"/>
          <w:b/>
          <w:color w:val="000000"/>
          <w:kern w:val="0"/>
          <w:sz w:val="28"/>
          <w:szCs w:val="28"/>
          <w:shd w:val="clear" w:color="auto" w:fill="FFFFFF"/>
        </w:rPr>
        <w:t>部门主要职责</w:t>
      </w:r>
      <w:r>
        <w:rPr>
          <w:rFonts w:hint="eastAsia" w:ascii="宋体" w:hAnsi="宋体" w:eastAsia="宋体" w:cs="宋体"/>
          <w:color w:val="000000"/>
          <w:kern w:val="0"/>
          <w:sz w:val="24"/>
          <w:shd w:val="clear" w:color="auto" w:fill="FFFFFF"/>
        </w:rPr>
        <w:br w:type="textWrapping"/>
      </w:r>
      <w:r>
        <w:rPr>
          <w:rFonts w:hint="eastAsia" w:ascii="宋体" w:hAnsi="宋体" w:eastAsia="宋体" w:cs="宋体"/>
          <w:color w:val="000000"/>
          <w:kern w:val="0"/>
          <w:sz w:val="28"/>
          <w:szCs w:val="28"/>
        </w:rPr>
        <w:t>1、贯彻执行党和国家关于文化艺术工作的方针、政策和法规，以及区委、区政府有关文化艺术工作的决定，组织研究和制定全区文化工作的发展规划，并监督实施。</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2、管理艺术事业，指导艺术创作与生产，扶持代表性、示范性、实验性的文化艺术品种，推动各门类艺术的发展；管理全区性重大文化活动。</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3、研究拟定文化产业计划、协调文化产业发展及文化产业运行中的重大问题；指导区重点文化体育建设，管理区级公共文化体育设施。</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4、管理文化市场，贯彻执行有关文化市场管理的政策、法律、法规，并指导实施；拟定文化市场发展规划，研究文化市场趋势，指导、监督、检查文化市场管理，稽查工作；整顿和规范文化市场秩序。</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5、管理社会文化事业，拟定社会文化事业的建设与以发展；协调全区性社会文化活动；指导全区各片区（社区）文化站建设。</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6、管理图书事业，指导图书文献资源的建设、开发和利用；组织推动图书馆标准化、现代化建设。</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7、管理对外文化体育交流工作，承办文化体育交流各项目的相关事务。</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8、依法组织查处全区侵权盗版行为；开展“扫黄打非”活动。</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kern w:val="0"/>
          <w:sz w:val="24"/>
          <w:shd w:val="clear" w:color="auto" w:fill="FFFFFF"/>
        </w:rPr>
        <w:t>二、部门机构设置情况</w:t>
      </w:r>
      <w:r>
        <w:rPr>
          <w:rFonts w:hint="eastAsia" w:ascii="宋体" w:hAnsi="宋体" w:eastAsia="宋体" w:cs="宋体"/>
          <w:color w:val="000000"/>
          <w:kern w:val="0"/>
          <w:sz w:val="24"/>
          <w:shd w:val="clear" w:color="auto" w:fill="FFFFFF"/>
        </w:rPr>
        <w:br w:type="textWrapping"/>
      </w:r>
      <w:r>
        <w:rPr>
          <w:rFonts w:hint="eastAsia" w:ascii="宋体" w:hAnsi="宋体" w:eastAsia="宋体" w:cs="宋体"/>
          <w:color w:val="000000"/>
          <w:kern w:val="0"/>
          <w:sz w:val="28"/>
          <w:szCs w:val="28"/>
        </w:rPr>
        <w:t>1、机构设置情况：下陆区文化体育旅游服务中心是下陆区文化旅游局的二级单位。黄石市下陆区文化体育旅游服务中心内设科室：下设一室，两馆。即：中心办公室，图书馆，文化馆。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编制情况：下陆区文化体育旅游服务中心核定编制数为4名，其中行政编0名，事业编制4名。2021年年末在职在编人员5人，区聘0人，退伍安置1人，政府雇员0人，退休人员5人（已全部转入机关事业单位养老保险发放养老金）。</w:t>
      </w:r>
      <w:r>
        <w:rPr>
          <w:rFonts w:hint="eastAsia" w:ascii="宋体" w:hAnsi="宋体" w:eastAsia="宋体" w:cs="宋体"/>
          <w:color w:val="000000"/>
          <w:kern w:val="0"/>
          <w:sz w:val="24"/>
          <w:shd w:val="clear" w:color="auto" w:fill="FFFFFF"/>
        </w:rPr>
        <w:br w:type="textWrapping"/>
      </w:r>
      <w:r>
        <w:rPr>
          <w:rStyle w:val="8"/>
          <w:rFonts w:hint="eastAsia" w:ascii="宋体" w:hAnsi="宋体" w:eastAsia="宋体" w:cs="宋体"/>
          <w:color w:val="000000"/>
          <w:kern w:val="0"/>
          <w:sz w:val="24"/>
          <w:shd w:val="clear" w:color="auto" w:fill="FFFFFF"/>
        </w:rPr>
        <w:t>第二部分: 部门2021年部门决算表</w:t>
      </w:r>
      <w:r>
        <w:rPr>
          <w:rStyle w:val="8"/>
          <w:rFonts w:hint="eastAsia" w:ascii="宋体" w:hAnsi="宋体" w:eastAsia="宋体" w:cs="宋体"/>
          <w:color w:val="000000"/>
          <w:kern w:val="0"/>
          <w:sz w:val="24"/>
          <w:shd w:val="clear" w:color="auto" w:fill="FFFFFF"/>
        </w:rPr>
        <w:br w:type="textWrapping"/>
      </w:r>
      <w:r>
        <w:rPr>
          <w:rFonts w:ascii="Arial" w:hAnsi="Arial" w:eastAsia="宋体" w:cs="Arial"/>
          <w:b/>
          <w:color w:val="000000"/>
          <w:sz w:val="27"/>
          <w:szCs w:val="27"/>
          <w:shd w:val="clear" w:color="auto" w:fill="FFFFFF"/>
        </w:rPr>
        <w:drawing>
          <wp:inline distT="0" distB="0" distL="0" distR="0">
            <wp:extent cx="5687695" cy="7687945"/>
            <wp:effectExtent l="19050" t="0" r="7950" b="0"/>
            <wp:docPr id="10" name="图片 1" descr="F:\公开\2021年决算公开\20230818根据财政要求修改\公开表\文艺中心截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F:\公开\2021年决算公开\20230818根据财政要求修改\公开表\文艺中心截图\1.png"/>
                    <pic:cNvPicPr>
                      <a:picLocks noChangeAspect="1" noChangeArrowheads="1"/>
                    </pic:cNvPicPr>
                  </pic:nvPicPr>
                  <pic:blipFill>
                    <a:blip r:embed="rId4" cstate="print"/>
                    <a:srcRect/>
                    <a:stretch>
                      <a:fillRect/>
                    </a:stretch>
                  </pic:blipFill>
                  <pic:spPr>
                    <a:xfrm>
                      <a:off x="0" y="0"/>
                      <a:ext cx="5688000" cy="7688047"/>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ascii="宋体" w:hAnsi="宋体" w:eastAsia="宋体" w:cs="宋体"/>
          <w:b/>
          <w:color w:val="000000"/>
          <w:kern w:val="0"/>
          <w:sz w:val="24"/>
          <w:shd w:val="clear" w:color="auto" w:fill="FFFFFF"/>
        </w:rPr>
        <w:drawing>
          <wp:inline distT="0" distB="0" distL="0" distR="0">
            <wp:extent cx="5688330" cy="2721610"/>
            <wp:effectExtent l="19050" t="0" r="7620" b="0"/>
            <wp:docPr id="11" name="图片 2" descr="F:\公开\2021年决算公开\20230818根据财政要求修改\公开表\文艺中心截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F:\公开\2021年决算公开\20230818根据财政要求修改\公开表\文艺中心截图\2.png"/>
                    <pic:cNvPicPr>
                      <a:picLocks noChangeAspect="1" noChangeArrowheads="1"/>
                    </pic:cNvPicPr>
                  </pic:nvPicPr>
                  <pic:blipFill>
                    <a:blip r:embed="rId5" cstate="print"/>
                    <a:srcRect/>
                    <a:stretch>
                      <a:fillRect/>
                    </a:stretch>
                  </pic:blipFill>
                  <pic:spPr>
                    <a:xfrm>
                      <a:off x="0" y="0"/>
                      <a:ext cx="5688330" cy="2722103"/>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eastAsia="Times New Roman"/>
          <w:color w:val="000000"/>
          <w:w w:val="0"/>
          <w:sz w:val="0"/>
          <w:szCs w:val="0"/>
          <w:u w:color="000000"/>
          <w:shd w:val="clear" w:color="000000" w:fill="000000"/>
        </w:rPr>
        <w:drawing>
          <wp:inline distT="0" distB="0" distL="0" distR="0">
            <wp:extent cx="5688330" cy="2843530"/>
            <wp:effectExtent l="19050" t="0" r="7620" b="0"/>
            <wp:docPr id="12" name="图片 3" descr="F:\公开\2021年决算公开\20230818根据财政要求修改\公开表\文艺中心截图\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F:\公开\2021年决算公开\20230818根据财政要求修改\公开表\文艺中心截图\3.png"/>
                    <pic:cNvPicPr>
                      <a:picLocks noChangeAspect="1" noChangeArrowheads="1"/>
                    </pic:cNvPicPr>
                  </pic:nvPicPr>
                  <pic:blipFill>
                    <a:blip r:embed="rId6" cstate="print"/>
                    <a:srcRect/>
                    <a:stretch>
                      <a:fillRect/>
                    </a:stretch>
                  </pic:blipFill>
                  <pic:spPr>
                    <a:xfrm>
                      <a:off x="0" y="0"/>
                      <a:ext cx="5688330" cy="2843855"/>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eastAsia="Times New Roman"/>
          <w:color w:val="000000"/>
          <w:w w:val="0"/>
          <w:sz w:val="0"/>
          <w:szCs w:val="0"/>
          <w:u w:color="000000"/>
          <w:shd w:val="clear" w:color="000000" w:fill="000000"/>
        </w:rPr>
        <w:drawing>
          <wp:inline distT="0" distB="0" distL="0" distR="0">
            <wp:extent cx="5688330" cy="6623685"/>
            <wp:effectExtent l="19050" t="0" r="7620" b="0"/>
            <wp:docPr id="13" name="图片 4" descr="F:\公开\2021年决算公开\20230818根据财政要求修改\公开表\文艺中心截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F:\公开\2021年决算公开\20230818根据财政要求修改\公开表\文艺中心截图\4.png"/>
                    <pic:cNvPicPr>
                      <a:picLocks noChangeAspect="1" noChangeArrowheads="1"/>
                    </pic:cNvPicPr>
                  </pic:nvPicPr>
                  <pic:blipFill>
                    <a:blip r:embed="rId7" cstate="print"/>
                    <a:srcRect/>
                    <a:stretch>
                      <a:fillRect/>
                    </a:stretch>
                  </pic:blipFill>
                  <pic:spPr>
                    <a:xfrm>
                      <a:off x="0" y="0"/>
                      <a:ext cx="5688330" cy="6623808"/>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eastAsia="Times New Roman"/>
          <w:color w:val="000000"/>
          <w:w w:val="0"/>
          <w:sz w:val="0"/>
          <w:szCs w:val="0"/>
          <w:u w:color="000000"/>
          <w:shd w:val="clear" w:color="000000" w:fill="000000"/>
        </w:rPr>
        <w:drawing>
          <wp:inline distT="0" distB="0" distL="0" distR="0">
            <wp:extent cx="5687695" cy="2895600"/>
            <wp:effectExtent l="19050" t="0" r="7950" b="0"/>
            <wp:docPr id="14" name="图片 5" descr="F:\公开\2021年决算公开\20230818根据财政要求修改\公开表\文艺中心截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F:\公开\2021年决算公开\20230818根据财政要求修改\公开表\文艺中心截图\5.png"/>
                    <pic:cNvPicPr>
                      <a:picLocks noChangeAspect="1" noChangeArrowheads="1"/>
                    </pic:cNvPicPr>
                  </pic:nvPicPr>
                  <pic:blipFill>
                    <a:blip r:embed="rId8" cstate="print"/>
                    <a:srcRect/>
                    <a:stretch>
                      <a:fillRect/>
                    </a:stretch>
                  </pic:blipFill>
                  <pic:spPr>
                    <a:xfrm>
                      <a:off x="0" y="0"/>
                      <a:ext cx="5688000" cy="2895600"/>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eastAsia="Times New Roman"/>
          <w:color w:val="000000"/>
          <w:w w:val="0"/>
          <w:sz w:val="0"/>
          <w:szCs w:val="0"/>
          <w:u w:color="000000"/>
          <w:shd w:val="clear" w:color="000000" w:fill="000000"/>
        </w:rPr>
        <w:drawing>
          <wp:inline distT="0" distB="0" distL="0" distR="0">
            <wp:extent cx="5688330" cy="5464810"/>
            <wp:effectExtent l="19050" t="0" r="7620" b="0"/>
            <wp:docPr id="15" name="图片 6" descr="F:\公开\2021年决算公开\20230818根据财政要求修改\公开表\文艺中心截图\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F:\公开\2021年决算公开\20230818根据财政要求修改\公开表\文艺中心截图\6.png"/>
                    <pic:cNvPicPr>
                      <a:picLocks noChangeAspect="1" noChangeArrowheads="1"/>
                    </pic:cNvPicPr>
                  </pic:nvPicPr>
                  <pic:blipFill>
                    <a:blip r:embed="rId9" cstate="print"/>
                    <a:srcRect/>
                    <a:stretch>
                      <a:fillRect/>
                    </a:stretch>
                  </pic:blipFill>
                  <pic:spPr>
                    <a:xfrm>
                      <a:off x="0" y="0"/>
                      <a:ext cx="5688330" cy="5464933"/>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r>
        <w:rPr>
          <w:rFonts w:eastAsia="Times New Roman"/>
          <w:color w:val="000000"/>
          <w:w w:val="0"/>
          <w:sz w:val="0"/>
          <w:szCs w:val="0"/>
          <w:u w:color="000000"/>
          <w:shd w:val="clear" w:color="000000" w:fill="000000"/>
        </w:rPr>
        <w:drawing>
          <wp:inline distT="0" distB="0" distL="0" distR="0">
            <wp:extent cx="5688330" cy="1901825"/>
            <wp:effectExtent l="19050" t="0" r="7620" b="0"/>
            <wp:docPr id="16" name="图片 7" descr="F:\公开\2021年决算公开\20230818根据财政要求修改\公开表\文艺中心截图\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F:\公开\2021年决算公开\20230818根据财政要求修改\公开表\文艺中心截图\7.png"/>
                    <pic:cNvPicPr>
                      <a:picLocks noChangeAspect="1" noChangeArrowheads="1"/>
                    </pic:cNvPicPr>
                  </pic:nvPicPr>
                  <pic:blipFill>
                    <a:blip r:embed="rId10" cstate="print"/>
                    <a:srcRect/>
                    <a:stretch>
                      <a:fillRect/>
                    </a:stretch>
                  </pic:blipFill>
                  <pic:spPr>
                    <a:xfrm>
                      <a:off x="0" y="0"/>
                      <a:ext cx="5688330" cy="1902275"/>
                    </a:xfrm>
                    <a:prstGeom prst="rect">
                      <a:avLst/>
                    </a:prstGeom>
                    <a:noFill/>
                    <a:ln w="9525">
                      <a:noFill/>
                      <a:miter lim="800000"/>
                      <a:headEnd/>
                      <a:tailEnd/>
                    </a:ln>
                  </pic:spPr>
                </pic:pic>
              </a:graphicData>
            </a:graphic>
          </wp:inline>
        </w:drawing>
      </w:r>
    </w:p>
    <w:p w14:paraId="65C23EF4">
      <w:pPr>
        <w:widowControl/>
        <w:spacing w:before="300"/>
        <w:jc w:val="left"/>
        <w:rPr>
          <w:rStyle w:val="8"/>
          <w:rFonts w:ascii="Arial" w:hAnsi="Arial" w:eastAsia="宋体" w:cs="Arial"/>
          <w:color w:val="000000"/>
          <w:kern w:val="0"/>
          <w:szCs w:val="21"/>
          <w:shd w:val="clear" w:color="auto" w:fill="FFFFFF"/>
        </w:rPr>
      </w:pPr>
      <w:r>
        <w:rPr>
          <w:color w:val="000000"/>
          <w:w w:val="0"/>
          <w:sz w:val="0"/>
          <w:szCs w:val="0"/>
          <w:u w:color="000000"/>
          <w:shd w:val="clear" w:color="000000" w:fill="000000"/>
        </w:rPr>
        <w:drawing>
          <wp:inline distT="0" distB="0" distL="0" distR="0">
            <wp:extent cx="5688330" cy="2285365"/>
            <wp:effectExtent l="19050" t="0" r="7620" b="0"/>
            <wp:docPr id="19" name="图片 10" descr="F:\公开\2021年决算公开\20230818根据财政要求修改\公开表\文艺中心截图\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F:\公开\2021年决算公开\20230818根据财政要求修改\公开表\文艺中心截图\8.png"/>
                    <pic:cNvPicPr>
                      <a:picLocks noChangeAspect="1" noChangeArrowheads="1"/>
                    </pic:cNvPicPr>
                  </pic:nvPicPr>
                  <pic:blipFill>
                    <a:blip r:embed="rId11" cstate="print"/>
                    <a:srcRect/>
                    <a:stretch>
                      <a:fillRect/>
                    </a:stretch>
                  </pic:blipFill>
                  <pic:spPr>
                    <a:xfrm>
                      <a:off x="0" y="0"/>
                      <a:ext cx="5688330" cy="2285725"/>
                    </a:xfrm>
                    <a:prstGeom prst="rect">
                      <a:avLst/>
                    </a:prstGeom>
                    <a:noFill/>
                    <a:ln w="9525">
                      <a:noFill/>
                      <a:miter lim="800000"/>
                      <a:headEnd/>
                      <a:tailEnd/>
                    </a:ln>
                  </pic:spPr>
                </pic:pic>
              </a:graphicData>
            </a:graphic>
          </wp:inline>
        </w:drawing>
      </w:r>
      <w:r>
        <w:rPr>
          <w:rFonts w:eastAsia="Times New Roman"/>
          <w:snapToGrid w:val="0"/>
          <w:color w:val="000000"/>
          <w:w w:val="0"/>
          <w:sz w:val="0"/>
          <w:szCs w:val="0"/>
          <w:u w:color="000000"/>
          <w:shd w:val="clear" w:color="000000" w:fill="000000"/>
        </w:rPr>
        <w:t xml:space="preserve">  </w:t>
      </w:r>
    </w:p>
    <w:p w14:paraId="26AD153E">
      <w:pPr>
        <w:widowControl/>
        <w:spacing w:line="400" w:lineRule="exact"/>
        <w:jc w:val="left"/>
        <w:rPr>
          <w:rStyle w:val="8"/>
          <w:rFonts w:ascii="宋体" w:hAnsi="宋体" w:eastAsia="宋体" w:cs="宋体"/>
          <w:color w:val="000000"/>
          <w:kern w:val="0"/>
          <w:sz w:val="24"/>
          <w:shd w:val="clear" w:color="auto" w:fill="FFFFFF"/>
        </w:rPr>
      </w:pPr>
    </w:p>
    <w:p w14:paraId="4984E5B7">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1962150"/>
            <wp:effectExtent l="0" t="0" r="1206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2"/>
                    <a:stretch>
                      <a:fillRect/>
                    </a:stretch>
                  </pic:blipFill>
                  <pic:spPr>
                    <a:xfrm>
                      <a:off x="0" y="0"/>
                      <a:ext cx="5760085" cy="1962150"/>
                    </a:xfrm>
                    <a:prstGeom prst="rect">
                      <a:avLst/>
                    </a:prstGeom>
                    <a:noFill/>
                    <a:ln w="9525">
                      <a:noFill/>
                    </a:ln>
                  </pic:spPr>
                </pic:pic>
              </a:graphicData>
            </a:graphic>
          </wp:inline>
        </w:drawing>
      </w:r>
    </w:p>
    <w:p w14:paraId="1CEC9684">
      <w:pPr>
        <w:widowControl/>
        <w:spacing w:line="400" w:lineRule="exact"/>
        <w:jc w:val="left"/>
        <w:rPr>
          <w:rStyle w:val="8"/>
          <w:rFonts w:ascii="宋体" w:hAnsi="宋体" w:eastAsia="宋体" w:cs="宋体"/>
          <w:color w:val="000000"/>
          <w:kern w:val="0"/>
          <w:sz w:val="24"/>
          <w:shd w:val="clear" w:color="auto" w:fill="FFFFFF"/>
        </w:rPr>
      </w:pPr>
    </w:p>
    <w:p w14:paraId="33C4B6D0">
      <w:pPr>
        <w:spacing w:line="400" w:lineRule="exact"/>
        <w:rPr>
          <w:rFonts w:hint="eastAsia" w:ascii="宋体" w:hAnsi="宋体" w:eastAsia="宋体" w:cs="宋体"/>
          <w:color w:val="000000"/>
          <w:kern w:val="0"/>
          <w:sz w:val="28"/>
          <w:szCs w:val="28"/>
        </w:rPr>
      </w:pPr>
      <w:r>
        <w:rPr>
          <w:rStyle w:val="8"/>
          <w:rFonts w:hint="eastAsia" w:ascii="宋体" w:hAnsi="宋体" w:eastAsia="宋体" w:cs="宋体"/>
          <w:color w:val="000000"/>
          <w:sz w:val="28"/>
          <w:szCs w:val="28"/>
          <w:shd w:val="clear" w:color="auto" w:fill="FFFFFF"/>
        </w:rPr>
        <w:t>第三部分：部门2021年部门决算情况说明</w:t>
      </w:r>
      <w:r>
        <w:rPr>
          <w:rFonts w:hint="eastAsia" w:ascii="宋体" w:hAnsi="宋体" w:eastAsia="宋体" w:cs="宋体"/>
          <w:color w:val="000000"/>
          <w:sz w:val="24"/>
          <w:shd w:val="clear" w:color="auto" w:fill="FFFFFF"/>
        </w:rPr>
        <w:br w:type="textWrapping"/>
      </w:r>
      <w:r>
        <w:rPr>
          <w:rStyle w:val="8"/>
          <w:rFonts w:hint="eastAsia" w:ascii="宋体" w:hAnsi="宋体" w:eastAsia="宋体" w:cs="宋体"/>
          <w:color w:val="000000"/>
          <w:sz w:val="28"/>
          <w:szCs w:val="28"/>
          <w:shd w:val="clear" w:color="auto" w:fill="FFFFFF"/>
        </w:rPr>
        <w:t>一、收支总体情况说明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下陆区文化体育旅游服务中心2021年度决算总收入合计134.01万元，其中：财政拨款收入134.01万元，占总收入的100%，其他收入0万元，占总收入的0%。</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下陆区文化体育旅游服务中心2021年度支出143.92万元，其中：基本支出107.09万元，占总支出的74.41%，项目支出36.83万元，占总支出的25.59%。</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二、2021年度决算收入增减变化情况</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下陆区文化体育旅游服务中心2021年度决算收入合计134.01万元，与上年决算数134.99万元相比，减少0.98万元，主要原因是：去年有图书馆更新经费。与年初预算110.96相比，增加23.05万元，主要原因是2021年增加了上级转移支付资金图书馆免费开放经费。</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本单位2021年度决算支出143.92万元，与上年决算数143.92相比，基本持平。与年初预算110.96相比，增加32.96万元，主要原因是：增加了上级转移支付资金图书馆免费开放经费。</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三、2021年财政拨款收入支出决算情况说明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下陆区文化体育旅游服务中心2021年财政拨款收入总计134.01万元，年初结转结余9.92万元，其中：一般公共预算拨款134.01万元，年初结转结余9.92万元；</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2021年财政拨款支出总计143.92万元，与年初预算数110.96万元相比增加32.96万元，主要原因是2021年增加了上级转移支付资金图书馆免费开放经费；与上年决算数</w:t>
      </w:r>
      <w:r>
        <w:rPr>
          <w:rFonts w:hint="eastAsia" w:ascii="宋体" w:hAnsi="宋体" w:eastAsia="宋体" w:cs="宋体"/>
          <w:color w:val="000000"/>
          <w:kern w:val="0"/>
          <w:sz w:val="28"/>
          <w:szCs w:val="28"/>
          <w:lang w:val="en-US" w:eastAsia="zh-CN"/>
        </w:rPr>
        <w:t>125.76</w:t>
      </w:r>
      <w:r>
        <w:rPr>
          <w:rFonts w:hint="eastAsia" w:ascii="宋体" w:hAnsi="宋体" w:eastAsia="宋体" w:cs="宋体"/>
          <w:color w:val="000000"/>
          <w:kern w:val="0"/>
          <w:sz w:val="28"/>
          <w:szCs w:val="28"/>
        </w:rPr>
        <w:t>万元相比</w:t>
      </w:r>
      <w:r>
        <w:rPr>
          <w:rFonts w:hint="eastAsia" w:ascii="宋体" w:hAnsi="宋体" w:eastAsia="宋体" w:cs="宋体"/>
          <w:color w:val="000000"/>
          <w:kern w:val="0"/>
          <w:sz w:val="28"/>
          <w:szCs w:val="28"/>
          <w:lang w:eastAsia="zh-CN"/>
        </w:rPr>
        <w:t>增加</w:t>
      </w:r>
      <w:r>
        <w:rPr>
          <w:rFonts w:hint="eastAsia" w:ascii="宋体" w:hAnsi="宋体" w:eastAsia="宋体" w:cs="宋体"/>
          <w:color w:val="000000"/>
          <w:kern w:val="0"/>
          <w:sz w:val="28"/>
          <w:szCs w:val="28"/>
          <w:lang w:val="en-US" w:eastAsia="zh-CN"/>
        </w:rPr>
        <w:t>18.16万元，原因是</w:t>
      </w:r>
      <w:r>
        <w:rPr>
          <w:rFonts w:hint="eastAsia" w:ascii="宋体" w:hAnsi="宋体" w:eastAsia="宋体" w:cs="宋体"/>
          <w:color w:val="000000"/>
          <w:kern w:val="0"/>
          <w:sz w:val="28"/>
          <w:szCs w:val="28"/>
        </w:rPr>
        <w:t>增加了上级转移支付资金图书馆免费开放经费。按支出性质分类：基本支出107.09万元，项目支出36.83万元。年末财政拨款结转和结余0万元。其中：一般公共预算拨款143.92万元，年末财政拨款结转和结余0万元。</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四、2021年一般公共预算财政拨款支出决算情况说明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下陆区文化体育旅游服务中心2021年一般公共预算财政拨款支出决算数143.92万元，与年初预算数为110.96万元，相比增加32.96万元，其中：一般公共预算财政拨款增加32.96万元。</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 xml:space="preserve">    按支出功能分类，文化旅游体育与传媒支出143.92万元，较上年增加18.16万元，增幅14.44%。</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五、2021年一般公共预算财政拨款基本支出决算情况说明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下陆区文化体育旅游服务中心2021年一般公共预算财政拨款基本支出107.09万元，较上年减少4.9万元，降幅4.38%。其中，人员经费支出84.03万元，较上年减少21.87万元，降幅20.65%。人员经费主要包括：基本工资、津贴补贴、奖金、社会保险缴费、离退休费、医疗费、住房公积金、职业年金、机关事业单位养老保险等支出。日常公用经费支出5.71万元，较上年减少了0.38万元，降幅6.24%。日常公用经费主要包括：办公费、印刷费、水费、电费、邮电费、物业管理费、差旅费、维修（护）费、租赁费、会议费、培训费、公务接待费、劳务费、工会经费、福利费、其他交通费、其他商品和服务支出、办公设备购置等。对个人和家庭的补助17.35万元，较上年0万元，增加17.35万元，增幅100%，对个人和家庭的补助主要包括：退休费、生活补贴等。</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六、一般公共预算财政拨款“三公”经费支出决算情况说明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rPr>
        <w:t>2021年度“三公”经费支出决算数为0万元，与2020年支出决算数0万元相比基本持平。</w:t>
      </w:r>
      <w:r>
        <w:rPr>
          <w:rFonts w:hint="eastAsia" w:ascii="宋体" w:hAnsi="宋体" w:eastAsia="宋体" w:cs="宋体"/>
          <w:color w:val="000000"/>
          <w:kern w:val="0"/>
          <w:sz w:val="28"/>
          <w:szCs w:val="28"/>
          <w:lang w:eastAsia="zh-CN"/>
        </w:rPr>
        <w:t>是单位今年无“三公”经费开支。</w:t>
      </w:r>
      <w:r>
        <w:rPr>
          <w:rFonts w:hint="eastAsia" w:ascii="宋体" w:hAnsi="宋体" w:eastAsia="宋体" w:cs="宋体"/>
          <w:color w:val="000000"/>
          <w:kern w:val="0"/>
          <w:sz w:val="28"/>
          <w:szCs w:val="28"/>
        </w:rPr>
        <w:t>与2021年预算0.4万元相比减少0.4万元，是单位严格执行相关规定，节约费用开支。其中:</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1、因公出国（境）费用支出决算为0万元，团组数为0组，人数为0人。与2020年决算数0万元相</w:t>
      </w:r>
      <w:r>
        <w:rPr>
          <w:rFonts w:hint="eastAsia" w:ascii="宋体" w:hAnsi="宋体" w:eastAsia="宋体" w:cs="宋体"/>
          <w:color w:val="000000"/>
          <w:kern w:val="0"/>
          <w:sz w:val="28"/>
          <w:szCs w:val="28"/>
          <w:lang w:val="en-US" w:eastAsia="zh-CN"/>
        </w:rPr>
        <w:t>比</w:t>
      </w:r>
      <w:bookmarkStart w:id="0" w:name="_GoBack"/>
      <w:bookmarkEnd w:id="0"/>
      <w:r>
        <w:rPr>
          <w:rFonts w:hint="eastAsia" w:ascii="宋体" w:hAnsi="宋体" w:eastAsia="宋体" w:cs="宋体"/>
          <w:color w:val="000000"/>
          <w:kern w:val="0"/>
          <w:sz w:val="28"/>
          <w:szCs w:val="28"/>
        </w:rPr>
        <w:t>持平，原因是我单位无因公出国（境）费用支出。与2021年预算数0万元相比持平，原因是我单位无因公出国（境）费用支出。</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2、2021年公务用车购置及运行维护费支出决算数为0万元，与2020年支出决算数0万元相比持平，原因是单位公车改革后无公务用车。与2021年预算数0万元相比持平，原因是单位公车改革后无公务用车。其中：</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（1）我单位公务用车购置费为0万元，车型为：无 ，本年度公务用车购置数0辆，公务用车保有量为0台。与2020年决算数0万元相比持平，原因是我单位未购置车辆。与2021年预算数0万元相比持平，原因是我单位未购置车辆。</w:t>
      </w:r>
      <w:r>
        <w:rPr>
          <w:rFonts w:hint="eastAsia" w:ascii="宋体" w:hAnsi="宋体" w:eastAsia="宋体" w:cs="宋体"/>
          <w:color w:val="000000"/>
          <w:kern w:val="0"/>
          <w:sz w:val="28"/>
          <w:szCs w:val="28"/>
        </w:rPr>
        <w:br w:type="textWrapping"/>
      </w:r>
      <w:r>
        <w:rPr>
          <w:rFonts w:hint="eastAsia" w:ascii="宋体" w:hAnsi="宋体" w:eastAsia="宋体" w:cs="宋体"/>
          <w:color w:val="000000"/>
          <w:kern w:val="0"/>
          <w:sz w:val="28"/>
          <w:szCs w:val="28"/>
        </w:rPr>
        <w:t>（2）公务用车运行维护费0万元，与2020年支出决算数0万元相比持平，原因是单位公车改革后无公务用车。与2021年预算数0万元相比持平,原因是单位公车改革后无公务用车。</w:t>
      </w:r>
    </w:p>
    <w:p w14:paraId="5F39B5F2">
      <w:pPr>
        <w:spacing w:line="400" w:lineRule="exact"/>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3、公务接待支出决算数为0万元，共接待0批次、0人。与2021年预算数0.4万元相比减少0.4万元，原因是单位认真贯彻落实中央八项规定精神和厉行节约要求，从严控制支出，与2020年支出决算数0万元相比基本持平。主要原因：单位</w:t>
      </w:r>
      <w:r>
        <w:rPr>
          <w:rFonts w:hint="eastAsia" w:ascii="宋体" w:hAnsi="宋体" w:eastAsia="宋体" w:cs="宋体"/>
          <w:color w:val="000000"/>
          <w:kern w:val="0"/>
          <w:sz w:val="28"/>
          <w:szCs w:val="28"/>
          <w:lang w:eastAsia="zh-CN"/>
        </w:rPr>
        <w:t>无</w:t>
      </w:r>
      <w:r>
        <w:rPr>
          <w:rFonts w:hint="eastAsia" w:ascii="宋体" w:hAnsi="宋体" w:eastAsia="宋体" w:cs="宋体"/>
          <w:color w:val="000000"/>
          <w:kern w:val="0"/>
          <w:sz w:val="28"/>
          <w:szCs w:val="28"/>
        </w:rPr>
        <w:t>公务接待经费支出。</w:t>
      </w:r>
      <w:r>
        <w:rPr>
          <w:rFonts w:hint="eastAsia" w:ascii="宋体" w:hAnsi="宋体" w:eastAsia="宋体" w:cs="宋体"/>
          <w:color w:val="000000"/>
          <w:kern w:val="0"/>
          <w:sz w:val="28"/>
          <w:szCs w:val="28"/>
        </w:rPr>
        <w:br w:type="textWrapping"/>
      </w:r>
      <w:r>
        <w:rPr>
          <w:rStyle w:val="8"/>
          <w:rFonts w:hint="eastAsia" w:ascii="宋体" w:hAnsi="宋体" w:eastAsia="宋体" w:cs="宋体"/>
          <w:color w:val="000000"/>
          <w:sz w:val="28"/>
          <w:szCs w:val="28"/>
          <w:shd w:val="clear" w:color="auto" w:fill="FFFFFF"/>
        </w:rPr>
        <w:t>七、机关运行经费执行情况说明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lang w:val="en-US" w:eastAsia="zh-CN"/>
        </w:rPr>
        <w:t xml:space="preserve"> 2021年度机关运行经费决算5.71万元，较年初预算数7.15万元减少1.44万元，主要是将公务交通补贴纳入人员经费。 较2020年决算数6.09万元减少了0.38万元，减少的原因是2020年购置了防疫物资。2021年度机关运行经费主要用于单位基本支出中办公费1.64万元，电费0.22万元，邮电费0.81万元，差旅费0.22万元，维修（护）费0.04万元，委托业务费0.66万元，工会经费1.18万元，福利费0.93万元，其他交通费用0.01万元。</w:t>
      </w:r>
      <w:r>
        <w:rPr>
          <w:rFonts w:hint="eastAsia" w:ascii="宋体" w:hAnsi="宋体" w:eastAsia="宋体" w:cs="宋体"/>
          <w:color w:val="000000"/>
          <w:kern w:val="0"/>
          <w:sz w:val="28"/>
          <w:szCs w:val="28"/>
          <w:lang w:val="en-US" w:eastAsia="zh-CN"/>
        </w:rPr>
        <w:br w:type="textWrapping"/>
      </w:r>
      <w:r>
        <w:rPr>
          <w:rStyle w:val="8"/>
          <w:rFonts w:hint="eastAsia" w:ascii="宋体" w:hAnsi="宋体" w:eastAsia="宋体" w:cs="宋体"/>
          <w:color w:val="000000"/>
          <w:sz w:val="28"/>
          <w:szCs w:val="28"/>
          <w:shd w:val="clear" w:color="auto" w:fill="FFFFFF"/>
        </w:rPr>
        <w:t>八、政府采购执行情况说明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lang w:val="en-US" w:eastAsia="zh-CN"/>
        </w:rPr>
        <w:t xml:space="preserve"> 2021年度我单位政府采购预算计划金额0万元，其中一般公共预算0万元，其他资金0万元；主要用于购买货物0万元，工程0万元，服务0万元。政府采购授予中小企业合同总额0万元，占政府采购合同总额的100%；其中：授予小微企业合同金额0万元，占政府采购支出总额的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2021年度我单位政府实际采购金额0.0万元，其中一般公共预算0.0万元，其他资金0万元；主要用于购买货物0.0万元，工程0万元，服务0万元。政府采购授予中小企业合同总额0万元，占政府采购合同总额的100%；其中：授予小微企业合同金额0万元，占政府采购支出总额的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 xml:space="preserve">    政府采购支出总额0万元与2020年度0.33万元相比，降幅100%，主要是2020年购买一批办公用品。</w:t>
      </w:r>
      <w:r>
        <w:rPr>
          <w:rFonts w:hint="eastAsia" w:ascii="宋体" w:hAnsi="宋体" w:eastAsia="宋体" w:cs="宋体"/>
          <w:color w:val="000000"/>
          <w:kern w:val="0"/>
          <w:sz w:val="28"/>
          <w:szCs w:val="28"/>
          <w:lang w:val="en-US" w:eastAsia="zh-CN"/>
        </w:rPr>
        <w:br w:type="textWrapping"/>
      </w:r>
      <w:r>
        <w:rPr>
          <w:rStyle w:val="8"/>
          <w:rFonts w:hint="eastAsia" w:ascii="宋体" w:hAnsi="宋体" w:eastAsia="宋体" w:cs="宋体"/>
          <w:color w:val="000000"/>
          <w:sz w:val="28"/>
          <w:szCs w:val="28"/>
          <w:shd w:val="clear" w:color="auto" w:fill="FFFFFF"/>
        </w:rPr>
        <w:t>九、国有资产占用情况说明</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lang w:val="en-US" w:eastAsia="zh-CN"/>
        </w:rPr>
        <w:t>2021年度我单位共占有车辆数0台，其中：机要通信用车0台，应急保障用车0台，执法执勤用车0台，特种专用技术用车0台，其他用车0台；单价50万元以上通用设备0台；单价100万元以上专用设备0台。其他固定资产（不包含房屋）199.07万元。</w:t>
      </w:r>
      <w:r>
        <w:rPr>
          <w:rFonts w:hint="eastAsia" w:ascii="宋体" w:hAnsi="宋体" w:eastAsia="宋体" w:cs="宋体"/>
          <w:color w:val="000000"/>
          <w:kern w:val="0"/>
          <w:sz w:val="28"/>
          <w:szCs w:val="28"/>
          <w:lang w:val="en-US" w:eastAsia="zh-CN"/>
        </w:rPr>
        <w:br w:type="textWrapping"/>
      </w:r>
      <w:r>
        <w:rPr>
          <w:rStyle w:val="8"/>
          <w:rFonts w:hint="eastAsia" w:ascii="宋体" w:hAnsi="宋体" w:eastAsia="宋体" w:cs="宋体"/>
          <w:color w:val="000000"/>
          <w:sz w:val="28"/>
          <w:szCs w:val="28"/>
          <w:shd w:val="clear" w:color="auto" w:fill="FFFFFF"/>
        </w:rPr>
        <w:t>十、其他情况</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lang w:val="en-US" w:eastAsia="zh-CN"/>
        </w:rPr>
        <w:t xml:space="preserve"> 本单位2021年无举借政府债务、无扶贫专项资金、无财政专项支出，无专项转移支付支出，无政府性基金预算支出。</w:t>
      </w:r>
      <w:r>
        <w:rPr>
          <w:rFonts w:hint="eastAsia" w:ascii="宋体" w:hAnsi="宋体" w:eastAsia="宋体" w:cs="宋体"/>
          <w:color w:val="000000"/>
          <w:sz w:val="24"/>
          <w:shd w:val="clear" w:color="auto" w:fill="FFFFFF"/>
        </w:rPr>
        <w:br w:type="textWrapping"/>
      </w:r>
      <w:r>
        <w:rPr>
          <w:rStyle w:val="8"/>
          <w:rFonts w:hint="eastAsia" w:ascii="宋体" w:hAnsi="宋体" w:eastAsia="宋体" w:cs="宋体"/>
          <w:color w:val="000000"/>
          <w:sz w:val="28"/>
          <w:szCs w:val="28"/>
          <w:shd w:val="clear" w:color="auto" w:fill="FFFFFF"/>
        </w:rPr>
        <w:t>十一、预算绩效工作开展情况</w:t>
      </w:r>
      <w:r>
        <w:rPr>
          <w:rFonts w:hint="eastAsia" w:ascii="宋体" w:hAnsi="宋体" w:eastAsia="宋体" w:cs="宋体"/>
          <w:color w:val="000000"/>
          <w:sz w:val="28"/>
          <w:szCs w:val="28"/>
          <w:shd w:val="clear" w:color="auto" w:fill="FFFFFF"/>
        </w:rPr>
        <w:br w:type="textWrapping"/>
      </w:r>
      <w:r>
        <w:rPr>
          <w:rFonts w:hint="eastAsia" w:ascii="宋体" w:hAnsi="宋体" w:eastAsia="宋体" w:cs="宋体"/>
          <w:color w:val="000000"/>
          <w:sz w:val="28"/>
          <w:szCs w:val="28"/>
          <w:shd w:val="clear" w:color="auto" w:fill="FFFFFF"/>
        </w:rPr>
        <w:t> </w:t>
      </w:r>
      <w:r>
        <w:rPr>
          <w:rStyle w:val="8"/>
          <w:rFonts w:hint="eastAsia" w:ascii="宋体" w:hAnsi="宋体" w:eastAsia="宋体" w:cs="宋体"/>
          <w:color w:val="000000"/>
          <w:sz w:val="28"/>
          <w:szCs w:val="28"/>
          <w:shd w:val="clear" w:color="auto" w:fill="FFFFFF"/>
        </w:rPr>
        <w:t>（一）预算绩效管理工作开展情况</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sz w:val="24"/>
          <w:shd w:val="clear" w:color="auto" w:fill="FFFFFF"/>
        </w:rPr>
        <w:t xml:space="preserve">    </w:t>
      </w:r>
      <w:r>
        <w:rPr>
          <w:rFonts w:hint="eastAsia" w:ascii="宋体" w:hAnsi="宋体" w:eastAsia="宋体" w:cs="宋体"/>
          <w:color w:val="000000"/>
          <w:kern w:val="0"/>
          <w:sz w:val="28"/>
          <w:szCs w:val="28"/>
          <w:lang w:val="en-US" w:eastAsia="zh-CN"/>
        </w:rPr>
        <w:t>根据预算绩效管理要求，我单位组织对2021年度一般公共预算项目支出全面开展绩效自评，共涉及项目2个，资金3万元（其中：一般公共预算拨款3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10065" w:type="dxa"/>
        <w:tblInd w:w="0" w:type="dxa"/>
        <w:shd w:val="clear" w:color="auto" w:fill="auto"/>
        <w:tblLayout w:type="autofit"/>
        <w:tblCellMar>
          <w:top w:w="0" w:type="dxa"/>
          <w:left w:w="0" w:type="dxa"/>
          <w:bottom w:w="0" w:type="dxa"/>
          <w:right w:w="0" w:type="dxa"/>
        </w:tblCellMar>
      </w:tblPr>
      <w:tblGrid>
        <w:gridCol w:w="645"/>
        <w:gridCol w:w="630"/>
        <w:gridCol w:w="660"/>
        <w:gridCol w:w="405"/>
        <w:gridCol w:w="2580"/>
        <w:gridCol w:w="2730"/>
        <w:gridCol w:w="810"/>
        <w:gridCol w:w="825"/>
        <w:gridCol w:w="780"/>
      </w:tblGrid>
      <w:tr w14:paraId="23ACDAC0">
        <w:tblPrEx>
          <w:tblCellMar>
            <w:top w:w="0" w:type="dxa"/>
            <w:left w:w="0" w:type="dxa"/>
            <w:bottom w:w="0" w:type="dxa"/>
            <w:right w:w="0" w:type="dxa"/>
          </w:tblCellMar>
        </w:tblPrEx>
        <w:trPr>
          <w:trHeight w:val="559" w:hRule="atLeast"/>
        </w:trPr>
        <w:tc>
          <w:tcPr>
            <w:tcW w:w="10065" w:type="dxa"/>
            <w:gridSpan w:val="9"/>
            <w:tcBorders>
              <w:top w:val="nil"/>
              <w:left w:val="nil"/>
              <w:bottom w:val="nil"/>
              <w:right w:val="nil"/>
            </w:tcBorders>
            <w:shd w:val="clear" w:color="auto" w:fill="FFFFFF"/>
            <w:tcMar>
              <w:top w:w="15" w:type="dxa"/>
              <w:left w:w="15" w:type="dxa"/>
              <w:right w:w="15" w:type="dxa"/>
            </w:tcMar>
            <w:vAlign w:val="center"/>
          </w:tcPr>
          <w:p w14:paraId="6953971B">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default" w:ascii="方正小标宋简体" w:hAnsi="方正小标宋简体" w:eastAsia="方正小标宋简体" w:cs="方正小标宋简体"/>
                <w:i w:val="0"/>
                <w:color w:val="000000"/>
                <w:kern w:val="0"/>
                <w:sz w:val="36"/>
                <w:szCs w:val="36"/>
                <w:u w:val="none"/>
                <w:lang w:val="en-US" w:eastAsia="zh-CN" w:bidi="ar"/>
              </w:rPr>
              <w:t>2021年下陆区部门整体支出绩效自评表</w:t>
            </w:r>
          </w:p>
        </w:tc>
      </w:tr>
      <w:tr w14:paraId="2CA64035">
        <w:tblPrEx>
          <w:tblCellMar>
            <w:top w:w="0" w:type="dxa"/>
            <w:left w:w="0" w:type="dxa"/>
            <w:bottom w:w="0" w:type="dxa"/>
            <w:right w:w="0" w:type="dxa"/>
          </w:tblCellMar>
        </w:tblPrEx>
        <w:trPr>
          <w:trHeight w:val="7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2D104B">
            <w:pPr>
              <w:keepNext w:val="0"/>
              <w:keepLines w:val="0"/>
              <w:widowControl/>
              <w:suppressLineNumbers w:val="0"/>
              <w:jc w:val="left"/>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填报单位（盖章）：</w:t>
            </w:r>
          </w:p>
        </w:tc>
        <w:tc>
          <w:tcPr>
            <w:tcW w:w="364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5213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黄石市下陆区文化体育旅游服务中心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108BE2">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填报日期：</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7648E8">
            <w:pPr>
              <w:jc w:val="center"/>
              <w:rPr>
                <w:rFonts w:hint="eastAsia" w:ascii="仿宋_GB2312" w:hAnsi="宋体" w:eastAsia="仿宋_GB2312" w:cs="仿宋_GB2312"/>
                <w:i w:val="0"/>
                <w:color w:val="000000"/>
                <w:sz w:val="24"/>
                <w:szCs w:val="24"/>
                <w:u w:val="none"/>
              </w:rPr>
            </w:pPr>
          </w:p>
        </w:tc>
      </w:tr>
      <w:tr w14:paraId="448AE3E9">
        <w:tblPrEx>
          <w:tblCellMar>
            <w:top w:w="0" w:type="dxa"/>
            <w:left w:w="0" w:type="dxa"/>
            <w:bottom w:w="0" w:type="dxa"/>
            <w:right w:w="0" w:type="dxa"/>
          </w:tblCellMar>
        </w:tblPrEx>
        <w:trPr>
          <w:trHeight w:val="60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70CAE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单位名称</w:t>
            </w:r>
          </w:p>
        </w:tc>
        <w:tc>
          <w:tcPr>
            <w:tcW w:w="6375"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FDEA7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黄石市下陆区文化体育旅游服务中心</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C1315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评价年度</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59819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2021年</w:t>
            </w:r>
          </w:p>
        </w:tc>
      </w:tr>
      <w:tr w14:paraId="35F91559">
        <w:tblPrEx>
          <w:tblCellMar>
            <w:top w:w="0" w:type="dxa"/>
            <w:left w:w="0" w:type="dxa"/>
            <w:bottom w:w="0" w:type="dxa"/>
            <w:right w:w="0" w:type="dxa"/>
          </w:tblCellMar>
        </w:tblPrEx>
        <w:trPr>
          <w:trHeight w:val="435" w:hRule="atLeast"/>
        </w:trPr>
        <w:tc>
          <w:tcPr>
            <w:tcW w:w="234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9E7DA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基本支出决算数总额</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FCF8F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107.09</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1D370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项目支出决算数总额</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5BBC8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36.83</w:t>
            </w:r>
          </w:p>
        </w:tc>
      </w:tr>
      <w:tr w14:paraId="524622F8">
        <w:tblPrEx>
          <w:tblCellMar>
            <w:top w:w="0" w:type="dxa"/>
            <w:left w:w="0" w:type="dxa"/>
            <w:bottom w:w="0" w:type="dxa"/>
            <w:right w:w="0" w:type="dxa"/>
          </w:tblCellMar>
        </w:tblPrEx>
        <w:trPr>
          <w:trHeight w:val="495" w:hRule="atLeast"/>
        </w:trPr>
        <w:tc>
          <w:tcPr>
            <w:tcW w:w="2340"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00D1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部门整体支出总额预算执行情况（万元）</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079C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执行数（A）</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0262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预算数（B）</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4D8BD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执行率（A/B）</w:t>
            </w:r>
          </w:p>
        </w:tc>
      </w:tr>
      <w:tr w14:paraId="61889A3F">
        <w:tblPrEx>
          <w:shd w:val="clear" w:color="auto" w:fill="auto"/>
          <w:tblCellMar>
            <w:top w:w="0" w:type="dxa"/>
            <w:left w:w="0" w:type="dxa"/>
            <w:bottom w:w="0" w:type="dxa"/>
            <w:right w:w="0" w:type="dxa"/>
          </w:tblCellMar>
        </w:tblPrEx>
        <w:trPr>
          <w:trHeight w:val="402" w:hRule="atLeast"/>
        </w:trPr>
        <w:tc>
          <w:tcPr>
            <w:tcW w:w="2340"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B63CD">
            <w:pPr>
              <w:jc w:val="center"/>
              <w:rPr>
                <w:rFonts w:hint="eastAsia" w:ascii="仿宋_GB2312" w:hAnsi="宋体" w:eastAsia="仿宋_GB2312" w:cs="仿宋_GB2312"/>
                <w:i w:val="0"/>
                <w:color w:val="000000"/>
                <w:sz w:val="20"/>
                <w:szCs w:val="20"/>
                <w:u w:val="none"/>
              </w:rPr>
            </w:pP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43AC1">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143.92</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7D504C">
            <w:pPr>
              <w:keepNext w:val="0"/>
              <w:keepLines w:val="0"/>
              <w:widowControl/>
              <w:suppressLineNumbers w:val="0"/>
              <w:jc w:val="righ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134.01</w:t>
            </w:r>
          </w:p>
        </w:tc>
        <w:tc>
          <w:tcPr>
            <w:tcW w:w="2415"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2283A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107.39%</w:t>
            </w:r>
          </w:p>
        </w:tc>
      </w:tr>
      <w:tr w14:paraId="28838278">
        <w:tblPrEx>
          <w:shd w:val="clear" w:color="auto" w:fill="auto"/>
          <w:tblCellMar>
            <w:top w:w="0" w:type="dxa"/>
            <w:left w:w="0" w:type="dxa"/>
            <w:bottom w:w="0" w:type="dxa"/>
            <w:right w:w="0" w:type="dxa"/>
          </w:tblCellMar>
        </w:tblPrEx>
        <w:trPr>
          <w:trHeight w:val="66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4760A3">
            <w:pPr>
              <w:keepNext w:val="0"/>
              <w:keepLines w:val="0"/>
              <w:widowControl/>
              <w:suppressLineNumbers w:val="0"/>
              <w:jc w:val="center"/>
              <w:textAlignment w:val="center"/>
              <w:rPr>
                <w:rFonts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一级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DEBDF8">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二级</w:t>
            </w:r>
            <w:r>
              <w:rPr>
                <w:rFonts w:hint="eastAsia" w:ascii="楷体_GB2312" w:hAnsi="宋体" w:eastAsia="楷体_GB2312" w:cs="楷体_GB2312"/>
                <w:b/>
                <w:i w:val="0"/>
                <w:color w:val="000000"/>
                <w:kern w:val="0"/>
                <w:sz w:val="20"/>
                <w:szCs w:val="20"/>
                <w:u w:val="none"/>
                <w:lang w:val="en-US" w:eastAsia="zh-CN" w:bidi="ar"/>
              </w:rPr>
              <w:br w:type="textWrapping"/>
            </w:r>
            <w:r>
              <w:rPr>
                <w:rFonts w:hint="eastAsia" w:ascii="楷体_GB2312" w:hAnsi="宋体" w:eastAsia="楷体_GB2312" w:cs="楷体_GB2312"/>
                <w:b/>
                <w:i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DA56FC">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D7A102">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分值</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17DF67">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指标说明</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379B9D">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评分标准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BDF2D4">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年初目标值</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048AC8">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实际完成值</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AD73C">
            <w:pPr>
              <w:keepNext w:val="0"/>
              <w:keepLines w:val="0"/>
              <w:widowControl/>
              <w:suppressLineNumbers w:val="0"/>
              <w:jc w:val="center"/>
              <w:textAlignment w:val="center"/>
              <w:rPr>
                <w:rFonts w:hint="eastAsia" w:ascii="楷体_GB2312" w:hAnsi="宋体" w:eastAsia="楷体_GB2312" w:cs="楷体_GB2312"/>
                <w:b/>
                <w:i w:val="0"/>
                <w:color w:val="000000"/>
                <w:sz w:val="20"/>
                <w:szCs w:val="20"/>
                <w:u w:val="none"/>
              </w:rPr>
            </w:pPr>
            <w:r>
              <w:rPr>
                <w:rFonts w:hint="eastAsia" w:ascii="楷体_GB2312" w:hAnsi="宋体" w:eastAsia="楷体_GB2312" w:cs="楷体_GB2312"/>
                <w:b/>
                <w:i w:val="0"/>
                <w:color w:val="000000"/>
                <w:kern w:val="0"/>
                <w:sz w:val="20"/>
                <w:szCs w:val="20"/>
                <w:u w:val="none"/>
                <w:lang w:val="en-US" w:eastAsia="zh-CN" w:bidi="ar"/>
              </w:rPr>
              <w:t>得分</w:t>
            </w:r>
          </w:p>
        </w:tc>
      </w:tr>
      <w:tr w14:paraId="6E689002">
        <w:tblPrEx>
          <w:shd w:val="clear" w:color="auto" w:fill="auto"/>
          <w:tblCellMar>
            <w:top w:w="0" w:type="dxa"/>
            <w:left w:w="0" w:type="dxa"/>
            <w:bottom w:w="0" w:type="dxa"/>
            <w:right w:w="0" w:type="dxa"/>
          </w:tblCellMar>
        </w:tblPrEx>
        <w:trPr>
          <w:trHeight w:val="332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02EDE0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E349F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C3C65">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完成率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C47EA7">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53F9CE">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预算完成率=（预算完成数/预算数）×100%，用以反映和考核部门（单位）预算完成程度。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预算完成数：部门（单位）本年度实际完成的预算数。</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预算数：财政部门批复的本年度部门（单位）预算数。</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3CF0A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预算完成率＝100%的，得10分。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预算完成率≥95%的，得9分。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预算完成率在90%（含）和95%之间，得8分。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预算完成率在85%（含）和90%之间，得7分。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预算完成率在80%（含）和85%之间，得6分。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预算完成率在70%（含）和80%之间，得4分。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预算完成率＜70%的，得0分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302F3">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134.01</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1B964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143.92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20DFD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754659A2">
        <w:tblPrEx>
          <w:shd w:val="clear" w:color="auto" w:fill="auto"/>
          <w:tblCellMar>
            <w:top w:w="0" w:type="dxa"/>
            <w:left w:w="0" w:type="dxa"/>
            <w:bottom w:w="0" w:type="dxa"/>
            <w:right w:w="0" w:type="dxa"/>
          </w:tblCellMar>
        </w:tblPrEx>
        <w:trPr>
          <w:trHeight w:val="354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1B680F7">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18E3E9">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7779FB">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6044FFF">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A60F8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预算调整率=（预算调整数/预算数）×100%，用以反映和考核部门（单位）预算的调整程度。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预算包括一般公共预算与政府性基金预算。</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C0F80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预算调整率绝对值≤5%，得10分。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预算调整率绝对值＞5%的，每增加0.1个百分点扣0.1分，扣完为止。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FDF2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134.01</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0FF9C6">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143.92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F09EF7">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8</w:t>
            </w:r>
          </w:p>
        </w:tc>
      </w:tr>
      <w:tr w14:paraId="34F68A5A">
        <w:tblPrEx>
          <w:shd w:val="clear" w:color="auto" w:fill="auto"/>
          <w:tblCellMar>
            <w:top w:w="0" w:type="dxa"/>
            <w:left w:w="0" w:type="dxa"/>
            <w:bottom w:w="0" w:type="dxa"/>
            <w:right w:w="0" w:type="dxa"/>
          </w:tblCellMar>
        </w:tblPrEx>
        <w:trPr>
          <w:trHeight w:val="37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18EF6AC">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9DFBD8">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C04F0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E5DDC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79BAF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支出进度率=（实际支出/支出预算）×100%，用以反映和考核部门（单位）预算执行的及时性和均衡性程度。</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半年支出进度＝部门上半年实际支出/（上年结余结转+本年部门预算安排+上半年执行中追加追减）*100%。</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前三季度支出进度＝部门前三季度实际支出/（上年结余结转+本年部门预算安排+前三季度执行中追加追减）*100%。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8A022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半年进度：进度率≥45%，得4分；进度率在40%（含）和45%之间，得2分；进度率＜40%，得0分。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前三季度进度：进度率≥75%，得6分；进度率在60%（含）和75%之间，得4分；进度率＜60%，得0分。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EA9E2">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134.01</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3B7B2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143.92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1B09D">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10</w:t>
            </w:r>
          </w:p>
        </w:tc>
      </w:tr>
      <w:tr w14:paraId="6B1D36B4">
        <w:tblPrEx>
          <w:shd w:val="clear" w:color="auto" w:fill="auto"/>
          <w:tblCellMar>
            <w:top w:w="0" w:type="dxa"/>
            <w:left w:w="0" w:type="dxa"/>
            <w:bottom w:w="0" w:type="dxa"/>
            <w:right w:w="0" w:type="dxa"/>
          </w:tblCellMar>
        </w:tblPrEx>
        <w:trPr>
          <w:trHeight w:val="1600" w:hRule="atLeast"/>
        </w:trPr>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01CEA98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投入</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A30C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5A1F5D">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C34580">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85FFC1">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部门预算中除财政拨款外的其他收入预算与决算差异率。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预算编制准确率＝其他收入决算数/其他收入预算数×100%-100%。</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44C5F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预算编制准确率≤20%，得5分。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预算编制准确率在20%和40%（含）之间，得3分。</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预算编制准确率＞40%，得0分。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2E71A0">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B9AE3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BA188">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1467E723">
        <w:tblPrEx>
          <w:shd w:val="clear" w:color="auto" w:fill="auto"/>
          <w:tblCellMar>
            <w:top w:w="0" w:type="dxa"/>
            <w:left w:w="0" w:type="dxa"/>
            <w:bottom w:w="0" w:type="dxa"/>
            <w:right w:w="0" w:type="dxa"/>
          </w:tblCellMar>
        </w:tblPrEx>
        <w:trPr>
          <w:trHeight w:val="180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6AACFD5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过程</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0B12D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7F4D58">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792C4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6C9FC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“三公”经费控制率=（“三公”经费实际支出数/“三公”经费预算安排数）×100%，用以反映和考核部门（单位）对“三公”经费的实际控制程度。</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BFD737">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三公经费控制率 ≤100%，得5分，每增加0.1个百分点扣0.5分，扣完为止。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5B47D4">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0.24</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7323DA">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C7CB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4CF9A5A5">
        <w:tblPrEx>
          <w:shd w:val="clear" w:color="auto" w:fill="auto"/>
          <w:tblCellMar>
            <w:top w:w="0" w:type="dxa"/>
            <w:left w:w="0" w:type="dxa"/>
            <w:bottom w:w="0" w:type="dxa"/>
            <w:right w:w="0" w:type="dxa"/>
          </w:tblCellMar>
        </w:tblPrEx>
        <w:trPr>
          <w:trHeight w:val="240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48E408B1">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E571C3">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59636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资产管理规范性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1D2F86">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1ED37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部门（单位）资产管理是否规范，用以反映和考核部门（单位）资产管理情况。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1.新增资产配置按预算执行。</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2.资产有偿使用、处置按规定程序审批。</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3.资产收益及时、足额上缴财政。</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73FE1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全部符合5分，有1项不符扣2分,扣完为止。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B7AF7C">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B4727E">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03B3F">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5</w:t>
            </w:r>
          </w:p>
        </w:tc>
      </w:tr>
      <w:tr w14:paraId="0ADE20C1">
        <w:tblPrEx>
          <w:tblCellMar>
            <w:top w:w="0" w:type="dxa"/>
            <w:left w:w="0" w:type="dxa"/>
            <w:bottom w:w="0" w:type="dxa"/>
            <w:right w:w="0" w:type="dxa"/>
          </w:tblCellMar>
        </w:tblPrEx>
        <w:trPr>
          <w:trHeight w:val="386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textDirection w:val="tbRlV"/>
            <w:vAlign w:val="center"/>
          </w:tcPr>
          <w:p w14:paraId="7D945179">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B32550">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F50021">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资金使用合规性</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70C84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9110B">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1.符合国家财经法规和财务管理制度规定以及有关专项资金管理办法的规定；</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2.资金的拨付有完整的审批程序和手续；</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3.重大项目开支经过评估论证；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4.符合部门预算批复的用途；</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5.不存在截留、挤占、挪用、虚列支出等情况。</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70EB9F">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全部符合10分,有1项不符扣2分，扣完为止。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4EC38A">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887BFE">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F59300">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05B5A2FE">
        <w:tblPrEx>
          <w:tblCellMar>
            <w:top w:w="0" w:type="dxa"/>
            <w:left w:w="0" w:type="dxa"/>
            <w:bottom w:w="0" w:type="dxa"/>
            <w:right w:w="0" w:type="dxa"/>
          </w:tblCellMar>
        </w:tblPrEx>
        <w:trPr>
          <w:trHeight w:val="960" w:hRule="atLeast"/>
        </w:trPr>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1BCEC2">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效</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果</w:t>
            </w:r>
          </w:p>
        </w:tc>
        <w:tc>
          <w:tcPr>
            <w:tcW w:w="63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164B3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79753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8C99C9">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0C95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现行行政运行经费支出预算编制方法的行政运行成本。</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59861C">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可使行政运行成本最经济为5分，可使行政运行成本较合理为3分，一般为2分，不合理为0分。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4CC247">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AECA59">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FBAD79">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r>
      <w:tr w14:paraId="0270055B">
        <w:tblPrEx>
          <w:shd w:val="clear" w:color="auto" w:fill="auto"/>
          <w:tblCellMar>
            <w:top w:w="0" w:type="dxa"/>
            <w:left w:w="0" w:type="dxa"/>
            <w:bottom w:w="0" w:type="dxa"/>
            <w:right w:w="0" w:type="dxa"/>
          </w:tblCellMar>
        </w:tblPrEx>
        <w:trPr>
          <w:trHeight w:val="679"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BB54DD">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93611D">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E85880">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D4D87E1">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DFF92">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行政运行经费支出能否保障部门正常运行。</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EF25AA">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正常运行的得5分，基本正常得3分，不能正常运行的不得分。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13DA24">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A45DC4">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D4646E">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4</w:t>
            </w:r>
          </w:p>
        </w:tc>
      </w:tr>
      <w:tr w14:paraId="46EEBE7D">
        <w:tblPrEx>
          <w:shd w:val="clear" w:color="auto" w:fill="auto"/>
          <w:tblCellMar>
            <w:top w:w="0" w:type="dxa"/>
            <w:left w:w="0" w:type="dxa"/>
            <w:bottom w:w="0" w:type="dxa"/>
            <w:right w:w="0" w:type="dxa"/>
          </w:tblCellMar>
        </w:tblPrEx>
        <w:trPr>
          <w:trHeight w:val="76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E801F4">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563E10">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E9A662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9B6AEB">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20576D">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项目资金运行产生的经济效益</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58258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经济效益显著得10分；一般得5分，下降不得分。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40FEFB">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9B2757">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56621">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641110F8">
        <w:tblPrEx>
          <w:tblCellMar>
            <w:top w:w="0" w:type="dxa"/>
            <w:left w:w="0" w:type="dxa"/>
            <w:bottom w:w="0" w:type="dxa"/>
            <w:right w:w="0" w:type="dxa"/>
          </w:tblCellMar>
        </w:tblPrEx>
        <w:trPr>
          <w:trHeight w:val="702"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6CD5D">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863BDD">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038B17">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416CD9">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10</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BFC7E9">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项目资金运行产生的社会效益</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9EA38">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社会效益显著得10分；一般得5分；否则不得分。</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E8D3F4">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48EA71">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13AFD9">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9</w:t>
            </w:r>
          </w:p>
        </w:tc>
      </w:tr>
      <w:tr w14:paraId="7FC2555F">
        <w:tblPrEx>
          <w:shd w:val="clear" w:color="auto" w:fill="auto"/>
          <w:tblCellMar>
            <w:top w:w="0" w:type="dxa"/>
            <w:left w:w="0" w:type="dxa"/>
            <w:bottom w:w="0" w:type="dxa"/>
            <w:right w:w="0" w:type="dxa"/>
          </w:tblCellMar>
        </w:tblPrEx>
        <w:trPr>
          <w:trHeight w:val="2320" w:hRule="atLeast"/>
        </w:trPr>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12A277">
            <w:pPr>
              <w:jc w:val="center"/>
              <w:rPr>
                <w:rFonts w:hint="eastAsia" w:ascii="楷体_GB2312" w:hAnsi="宋体" w:eastAsia="楷体_GB2312" w:cs="楷体_GB2312"/>
                <w:i w:val="0"/>
                <w:color w:val="000000"/>
                <w:sz w:val="20"/>
                <w:szCs w:val="20"/>
                <w:u w:val="none"/>
              </w:rPr>
            </w:pPr>
          </w:p>
        </w:tc>
        <w:tc>
          <w:tcPr>
            <w:tcW w:w="63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977EC2">
            <w:pPr>
              <w:jc w:val="center"/>
              <w:rPr>
                <w:rFonts w:hint="eastAsia" w:ascii="楷体_GB2312" w:hAnsi="宋体" w:eastAsia="楷体_GB2312" w:cs="楷体_GB2312"/>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923989">
            <w:pPr>
              <w:keepNext w:val="0"/>
              <w:keepLines w:val="0"/>
              <w:widowControl/>
              <w:suppressLineNumbers w:val="0"/>
              <w:jc w:val="center"/>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C3DCB89">
            <w:pPr>
              <w:keepNext w:val="0"/>
              <w:keepLines w:val="0"/>
              <w:widowControl/>
              <w:suppressLineNumbers w:val="0"/>
              <w:jc w:val="center"/>
              <w:textAlignment w:val="center"/>
              <w:rPr>
                <w:rFonts w:hint="eastAsia" w:ascii="楷体_GB2312" w:hAnsi="宋体" w:eastAsia="楷体_GB2312" w:cs="楷体_GB2312"/>
                <w:i w:val="0"/>
                <w:color w:val="000000"/>
                <w:sz w:val="24"/>
                <w:szCs w:val="24"/>
                <w:u w:val="none"/>
              </w:rPr>
            </w:pPr>
            <w:r>
              <w:rPr>
                <w:rFonts w:hint="eastAsia" w:ascii="楷体_GB2312" w:hAnsi="宋体" w:eastAsia="楷体_GB2312" w:cs="楷体_GB2312"/>
                <w:i w:val="0"/>
                <w:color w:val="000000"/>
                <w:kern w:val="0"/>
                <w:sz w:val="24"/>
                <w:szCs w:val="24"/>
                <w:u w:val="none"/>
                <w:lang w:val="en-US" w:eastAsia="zh-CN" w:bidi="ar"/>
              </w:rPr>
              <w:t>15</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0368FA4">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1.项目完成后有经费安排能满足项目持续运行需要；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2.项目完成后有制度保障项目持续运行需要；</w:t>
            </w:r>
            <w:r>
              <w:rPr>
                <w:rFonts w:hint="eastAsia" w:ascii="楷体_GB2312" w:hAnsi="宋体" w:eastAsia="楷体_GB2312" w:cs="楷体_GB2312"/>
                <w:i w:val="0"/>
                <w:color w:val="000000"/>
                <w:kern w:val="0"/>
                <w:sz w:val="20"/>
                <w:szCs w:val="20"/>
                <w:u w:val="none"/>
                <w:lang w:val="en-US" w:eastAsia="zh-CN" w:bidi="ar"/>
              </w:rPr>
              <w:br w:type="textWrapping"/>
            </w:r>
            <w:r>
              <w:rPr>
                <w:rFonts w:hint="eastAsia" w:ascii="楷体_GB2312" w:hAnsi="宋体" w:eastAsia="楷体_GB2312" w:cs="楷体_GB2312"/>
                <w:i w:val="0"/>
                <w:color w:val="000000"/>
                <w:kern w:val="0"/>
                <w:sz w:val="20"/>
                <w:szCs w:val="20"/>
                <w:u w:val="none"/>
                <w:lang w:val="en-US" w:eastAsia="zh-CN" w:bidi="ar"/>
              </w:rPr>
              <w:t>3.项目完成后有明确的项目管理机构、负责人对项目后继管理负责，满足持续运行需要。</w:t>
            </w:r>
          </w:p>
        </w:tc>
        <w:tc>
          <w:tcPr>
            <w:tcW w:w="27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4F9916">
            <w:pPr>
              <w:keepNext w:val="0"/>
              <w:keepLines w:val="0"/>
              <w:widowControl/>
              <w:suppressLineNumbers w:val="0"/>
              <w:jc w:val="lef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全部符合15分,有1项不符扣5分，扣完为止。</w:t>
            </w:r>
          </w:p>
        </w:tc>
        <w:tc>
          <w:tcPr>
            <w:tcW w:w="8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2528C9">
            <w:pPr>
              <w:rPr>
                <w:rFonts w:hint="eastAsia" w:ascii="楷体_GB2312" w:hAnsi="宋体" w:eastAsia="楷体_GB2312" w:cs="楷体_GB2312"/>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243D7">
            <w:pPr>
              <w:jc w:val="center"/>
              <w:rPr>
                <w:rFonts w:hint="eastAsia" w:ascii="楷体_GB2312" w:hAnsi="宋体" w:eastAsia="楷体_GB2312" w:cs="楷体_GB2312"/>
                <w:i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E383119">
            <w:pPr>
              <w:keepNext w:val="0"/>
              <w:keepLines w:val="0"/>
              <w:widowControl/>
              <w:suppressLineNumbers w:val="0"/>
              <w:jc w:val="right"/>
              <w:textAlignment w:val="center"/>
              <w:rPr>
                <w:rFonts w:hint="eastAsia" w:ascii="楷体_GB2312" w:hAnsi="宋体" w:eastAsia="楷体_GB2312" w:cs="楷体_GB2312"/>
                <w:i w:val="0"/>
                <w:color w:val="000000"/>
                <w:sz w:val="20"/>
                <w:szCs w:val="20"/>
                <w:u w:val="none"/>
              </w:rPr>
            </w:pPr>
            <w:r>
              <w:rPr>
                <w:rFonts w:hint="eastAsia" w:ascii="楷体_GB2312" w:hAnsi="宋体" w:eastAsia="楷体_GB2312" w:cs="楷体_GB2312"/>
                <w:i w:val="0"/>
                <w:color w:val="000000"/>
                <w:kern w:val="0"/>
                <w:sz w:val="20"/>
                <w:szCs w:val="20"/>
                <w:u w:val="none"/>
                <w:lang w:val="en-US" w:eastAsia="zh-CN" w:bidi="ar"/>
              </w:rPr>
              <w:t>15</w:t>
            </w:r>
          </w:p>
        </w:tc>
      </w:tr>
      <w:tr w14:paraId="62E39B97">
        <w:tblPrEx>
          <w:tblCellMar>
            <w:top w:w="0" w:type="dxa"/>
            <w:left w:w="0" w:type="dxa"/>
            <w:bottom w:w="0" w:type="dxa"/>
            <w:right w:w="0" w:type="dxa"/>
          </w:tblCellMar>
        </w:tblPrEx>
        <w:trPr>
          <w:trHeight w:val="499" w:hRule="atLeast"/>
        </w:trPr>
        <w:tc>
          <w:tcPr>
            <w:tcW w:w="7650" w:type="dxa"/>
            <w:gridSpan w:val="6"/>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B7495">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评价结论（优、良、中、差）：优</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57B4F98">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C3B36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r>
    </w:tbl>
    <w:p w14:paraId="4A0D80AB">
      <w:pPr>
        <w:spacing w:line="400" w:lineRule="exact"/>
        <w:rPr>
          <w:rFonts w:hint="eastAsia" w:ascii="宋体" w:hAnsi="宋体" w:eastAsia="宋体" w:cs="宋体"/>
          <w:color w:val="000000"/>
          <w:kern w:val="0"/>
          <w:sz w:val="28"/>
          <w:szCs w:val="28"/>
          <w:lang w:val="en-US" w:eastAsia="zh-CN"/>
        </w:rPr>
      </w:pPr>
      <w:r>
        <w:rPr>
          <w:rFonts w:hint="eastAsia" w:ascii="宋体" w:hAnsi="宋体" w:eastAsia="宋体" w:cs="宋体"/>
          <w:color w:val="000000"/>
          <w:sz w:val="24"/>
          <w:shd w:val="clear" w:color="auto" w:fill="FFFFFF"/>
        </w:rPr>
        <w:br w:type="textWrapping"/>
      </w:r>
      <w:r>
        <w:rPr>
          <w:rStyle w:val="8"/>
          <w:rFonts w:hint="eastAsia" w:ascii="宋体" w:hAnsi="宋体" w:eastAsia="宋体" w:cs="宋体"/>
          <w:color w:val="000000"/>
          <w:sz w:val="24"/>
          <w:shd w:val="clear" w:color="auto" w:fill="FFFFFF"/>
        </w:rPr>
        <w:t>（二）部门决算中项目绩效自评结果</w:t>
      </w:r>
      <w:r>
        <w:rPr>
          <w:rFonts w:hint="eastAsia" w:ascii="宋体" w:hAnsi="宋体" w:eastAsia="宋体" w:cs="宋体"/>
          <w:color w:val="000000"/>
          <w:sz w:val="24"/>
          <w:shd w:val="clear" w:color="auto" w:fill="FFFFFF"/>
        </w:rPr>
        <w:br w:type="textWrapping"/>
      </w:r>
      <w:r>
        <w:rPr>
          <w:rStyle w:val="8"/>
          <w:rFonts w:hint="eastAsia" w:ascii="宋体" w:hAnsi="宋体" w:eastAsia="宋体" w:cs="宋体"/>
          <w:color w:val="000000"/>
          <w:sz w:val="24"/>
          <w:shd w:val="clear" w:color="auto" w:fill="FFFFFF"/>
        </w:rPr>
        <w:t>1. 图书馆文化馆免费开放专项经费绩效自评</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kern w:val="0"/>
          <w:sz w:val="28"/>
          <w:szCs w:val="28"/>
          <w:lang w:val="en-US" w:eastAsia="zh-CN"/>
        </w:rPr>
        <w:t>项目全年预算数为2万元，其中：一般公共预算财政拨款2万元。执行数为2万元，完成预算100%。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主要产出和效益：图书馆、文化馆日常免费开放。一是丰富全区人民精神文化生活，公共文化体育服务体系建设群众满意度高；组织实施文化体育活动实现社会效益和经济效益相统一，实际完成值：良好；二是打造下陆区文化体育名片，提升下陆区知名度，文化活动助推旅游转型升级。实际完成值：良好；三是通过活动的开展，力争下陆区人民对文体旅游服务中心活动实施开展的满意度达到较好水平。</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发现的问题及原因：预算执行率基本达到预定目标，原因是受疫情影响无法开展更多的活动。</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下一步改进措施：结合以往年度实际情况，科学测算相关工作经费预算，进一步提高预算编制的准确性。</w:t>
      </w:r>
    </w:p>
    <w:p w14:paraId="324D5203">
      <w:pPr>
        <w:spacing w:line="400" w:lineRule="exact"/>
        <w:jc w:val="center"/>
        <w:rPr>
          <w:rFonts w:hint="eastAsia" w:ascii="宋体" w:hAnsi="宋体" w:eastAsia="宋体" w:cs="宋体"/>
          <w:color w:val="000000"/>
          <w:sz w:val="24"/>
          <w:shd w:val="clear" w:color="auto" w:fill="FFFFFF"/>
        </w:rPr>
      </w:pPr>
      <w:r>
        <w:rPr>
          <w:rStyle w:val="8"/>
          <w:rFonts w:hint="eastAsia" w:ascii="宋体" w:hAnsi="宋体" w:eastAsia="宋体" w:cs="宋体"/>
          <w:color w:val="000000"/>
          <w:sz w:val="24"/>
          <w:shd w:val="clear" w:color="auto" w:fill="FFFFFF"/>
        </w:rPr>
        <w:t>图书馆文化馆免费开放专项经费绩效自评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204"/>
        <w:gridCol w:w="1502"/>
        <w:gridCol w:w="121"/>
        <w:gridCol w:w="1318"/>
        <w:gridCol w:w="1425"/>
      </w:tblGrid>
      <w:tr w14:paraId="50DE8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69C7E8DA">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745296F2">
            <w:pPr>
              <w:jc w:val="center"/>
              <w:rPr>
                <w:rFonts w:ascii="仿宋_GB2312" w:hAnsi="仿宋_GB2312" w:eastAsia="仿宋_GB2312" w:cs="仿宋_GB2312"/>
                <w:szCs w:val="21"/>
              </w:rPr>
            </w:pPr>
            <w:r>
              <w:rPr>
                <w:rFonts w:hint="eastAsia" w:ascii="仿宋_GB2312" w:hAnsi="仿宋_GB2312" w:eastAsia="仿宋_GB2312" w:cs="仿宋_GB2312"/>
                <w:szCs w:val="21"/>
              </w:rPr>
              <w:t>图书馆文化馆免费开放经费</w:t>
            </w:r>
          </w:p>
        </w:tc>
      </w:tr>
      <w:tr w14:paraId="4FE3E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6F63370D">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1311EF44">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14:paraId="4026FBAF">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065BFBD5">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黄石市下陆区文化体育旅游服务中心</w:t>
            </w:r>
          </w:p>
        </w:tc>
      </w:tr>
      <w:tr w14:paraId="22455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221F308D">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749937F4">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      2、上级专项□</w:t>
            </w:r>
          </w:p>
        </w:tc>
      </w:tr>
      <w:tr w14:paraId="1926D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07586A22">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71A51589">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        2、新增性项目□</w:t>
            </w:r>
          </w:p>
        </w:tc>
      </w:tr>
      <w:tr w14:paraId="4B2F7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6DDCBCFD">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7CF82FBE">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        2、延续性项目□       3、 一次性项目□</w:t>
            </w:r>
          </w:p>
        </w:tc>
      </w:tr>
      <w:tr w14:paraId="01485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2D545A9F">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14104245">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29BFEDCE">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68633643">
            <w:pPr>
              <w:rPr>
                <w:rFonts w:ascii="仿宋_GB2312" w:hAnsi="仿宋_GB2312" w:eastAsia="仿宋_GB2312" w:cs="仿宋_GB2312"/>
                <w:szCs w:val="21"/>
              </w:rPr>
            </w:pPr>
          </w:p>
        </w:tc>
        <w:tc>
          <w:tcPr>
            <w:tcW w:w="1329" w:type="dxa"/>
          </w:tcPr>
          <w:p w14:paraId="49CF4B22">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153" w:type="dxa"/>
            <w:gridSpan w:val="2"/>
          </w:tcPr>
          <w:p w14:paraId="0B4EBB26">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623" w:type="dxa"/>
            <w:gridSpan w:val="2"/>
          </w:tcPr>
          <w:p w14:paraId="3A3008DD">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049261F8">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2E07816C">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3D240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7D5A58CD">
            <w:pPr>
              <w:rPr>
                <w:rFonts w:ascii="仿宋_GB2312" w:hAnsi="仿宋_GB2312" w:eastAsia="仿宋_GB2312" w:cs="仿宋_GB2312"/>
                <w:szCs w:val="21"/>
              </w:rPr>
            </w:pPr>
          </w:p>
        </w:tc>
        <w:tc>
          <w:tcPr>
            <w:tcW w:w="1119" w:type="dxa"/>
          </w:tcPr>
          <w:p w14:paraId="242AB41D">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1EBCB22C">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53" w:type="dxa"/>
            <w:gridSpan w:val="2"/>
            <w:vAlign w:val="center"/>
          </w:tcPr>
          <w:p w14:paraId="06282478">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623" w:type="dxa"/>
            <w:gridSpan w:val="2"/>
            <w:vAlign w:val="center"/>
          </w:tcPr>
          <w:p w14:paraId="310EE811">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11A573FF">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680C6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274A30E4">
            <w:pPr>
              <w:spacing w:line="269" w:lineRule="auto"/>
              <w:rPr>
                <w:rFonts w:ascii="仿宋_GB2312" w:hAnsi="仿宋_GB2312" w:eastAsia="仿宋_GB2312" w:cs="仿宋_GB2312"/>
                <w:szCs w:val="21"/>
              </w:rPr>
            </w:pPr>
          </w:p>
          <w:p w14:paraId="7FB3DF3C">
            <w:pPr>
              <w:spacing w:line="269" w:lineRule="auto"/>
              <w:rPr>
                <w:rFonts w:ascii="仿宋_GB2312" w:hAnsi="仿宋_GB2312" w:eastAsia="仿宋_GB2312" w:cs="仿宋_GB2312"/>
                <w:szCs w:val="21"/>
              </w:rPr>
            </w:pPr>
          </w:p>
          <w:p w14:paraId="471BB1E0">
            <w:pPr>
              <w:spacing w:line="269" w:lineRule="auto"/>
              <w:rPr>
                <w:rFonts w:ascii="仿宋_GB2312" w:hAnsi="仿宋_GB2312" w:eastAsia="仿宋_GB2312" w:cs="仿宋_GB2312"/>
                <w:szCs w:val="21"/>
              </w:rPr>
            </w:pPr>
          </w:p>
          <w:p w14:paraId="3C69E653">
            <w:pPr>
              <w:spacing w:line="270" w:lineRule="auto"/>
              <w:rPr>
                <w:rFonts w:ascii="仿宋_GB2312" w:hAnsi="仿宋_GB2312" w:eastAsia="仿宋_GB2312" w:cs="仿宋_GB2312"/>
                <w:szCs w:val="21"/>
              </w:rPr>
            </w:pPr>
          </w:p>
          <w:p w14:paraId="5A19BDCE">
            <w:pPr>
              <w:spacing w:line="270" w:lineRule="auto"/>
              <w:rPr>
                <w:rFonts w:ascii="仿宋_GB2312" w:hAnsi="仿宋_GB2312" w:eastAsia="仿宋_GB2312" w:cs="仿宋_GB2312"/>
                <w:szCs w:val="21"/>
              </w:rPr>
            </w:pPr>
          </w:p>
          <w:p w14:paraId="5D6FF1CC">
            <w:pPr>
              <w:spacing w:line="270" w:lineRule="auto"/>
              <w:rPr>
                <w:rFonts w:ascii="仿宋_GB2312" w:hAnsi="仿宋_GB2312" w:eastAsia="仿宋_GB2312" w:cs="仿宋_GB2312"/>
                <w:szCs w:val="21"/>
              </w:rPr>
            </w:pPr>
          </w:p>
          <w:p w14:paraId="05BA8DD5">
            <w:pPr>
              <w:spacing w:line="270" w:lineRule="auto"/>
              <w:rPr>
                <w:rFonts w:ascii="仿宋_GB2312" w:hAnsi="仿宋_GB2312" w:eastAsia="仿宋_GB2312" w:cs="仿宋_GB2312"/>
                <w:szCs w:val="21"/>
              </w:rPr>
            </w:pPr>
          </w:p>
          <w:p w14:paraId="049FB275">
            <w:pPr>
              <w:jc w:val="center"/>
              <w:rPr>
                <w:rFonts w:ascii="仿宋_GB2312" w:hAnsi="仿宋_GB2312" w:eastAsia="仿宋_GB2312" w:cs="仿宋_GB2312"/>
                <w:b/>
                <w:bCs/>
                <w:szCs w:val="21"/>
              </w:rPr>
            </w:pPr>
          </w:p>
          <w:p w14:paraId="3D81CCB4">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4F7D09D0">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0FCB20E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7BE2D55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04A416A1">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1EBF162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355A7A5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28736AD6">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7A9513D8">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31469EE9">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482" w:type="dxa"/>
            <w:gridSpan w:val="3"/>
          </w:tcPr>
          <w:p w14:paraId="4831C0E1">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623" w:type="dxa"/>
            <w:gridSpan w:val="2"/>
          </w:tcPr>
          <w:p w14:paraId="13C0C04D">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0732EAA1">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14:paraId="4ADE0A1D">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62CA39BB">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14:paraId="361C0917">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48FC6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6D2BE5EE">
            <w:pPr>
              <w:rPr>
                <w:rFonts w:ascii="仿宋_GB2312" w:hAnsi="仿宋_GB2312" w:eastAsia="仿宋_GB2312" w:cs="仿宋_GB2312"/>
                <w:szCs w:val="21"/>
              </w:rPr>
            </w:pPr>
          </w:p>
        </w:tc>
        <w:tc>
          <w:tcPr>
            <w:tcW w:w="689" w:type="dxa"/>
            <w:vMerge w:val="restart"/>
          </w:tcPr>
          <w:p w14:paraId="688B840E">
            <w:pPr>
              <w:rPr>
                <w:rFonts w:ascii="仿宋_GB2312" w:hAnsi="仿宋_GB2312" w:eastAsia="仿宋_GB2312" w:cs="仿宋_GB2312"/>
                <w:b/>
                <w:bCs/>
                <w:szCs w:val="21"/>
              </w:rPr>
            </w:pPr>
          </w:p>
          <w:p w14:paraId="41383110">
            <w:pPr>
              <w:rPr>
                <w:rFonts w:ascii="仿宋_GB2312" w:hAnsi="仿宋_GB2312" w:eastAsia="仿宋_GB2312" w:cs="仿宋_GB2312"/>
                <w:b/>
                <w:bCs/>
                <w:szCs w:val="21"/>
              </w:rPr>
            </w:pPr>
          </w:p>
          <w:p w14:paraId="4B0F3C42">
            <w:pPr>
              <w:rPr>
                <w:rFonts w:ascii="仿宋_GB2312" w:hAnsi="仿宋_GB2312" w:eastAsia="仿宋_GB2312" w:cs="仿宋_GB2312"/>
                <w:b/>
                <w:bCs/>
                <w:szCs w:val="21"/>
              </w:rPr>
            </w:pPr>
          </w:p>
          <w:p w14:paraId="759E9EE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3C3C727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640E7C97">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1D4F45E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482" w:type="dxa"/>
            <w:gridSpan w:val="3"/>
            <w:vAlign w:val="center"/>
          </w:tcPr>
          <w:p w14:paraId="01C7DE73">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开展文化活动</w:t>
            </w:r>
          </w:p>
        </w:tc>
        <w:tc>
          <w:tcPr>
            <w:tcW w:w="1623" w:type="dxa"/>
            <w:gridSpan w:val="2"/>
            <w:vAlign w:val="center"/>
          </w:tcPr>
          <w:p w14:paraId="6D0EA62F">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不少于5场</w:t>
            </w:r>
          </w:p>
        </w:tc>
        <w:tc>
          <w:tcPr>
            <w:tcW w:w="1318" w:type="dxa"/>
            <w:vAlign w:val="center"/>
          </w:tcPr>
          <w:p w14:paraId="33AFC25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6场</w:t>
            </w:r>
          </w:p>
        </w:tc>
        <w:tc>
          <w:tcPr>
            <w:tcW w:w="1425" w:type="dxa"/>
            <w:vAlign w:val="center"/>
          </w:tcPr>
          <w:p w14:paraId="6AF8D34B">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56E48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6EF6D0CB">
            <w:pPr>
              <w:rPr>
                <w:rFonts w:ascii="仿宋_GB2312" w:hAnsi="仿宋_GB2312" w:eastAsia="仿宋_GB2312" w:cs="仿宋_GB2312"/>
                <w:szCs w:val="21"/>
              </w:rPr>
            </w:pPr>
          </w:p>
        </w:tc>
        <w:tc>
          <w:tcPr>
            <w:tcW w:w="689" w:type="dxa"/>
            <w:vMerge w:val="continue"/>
          </w:tcPr>
          <w:p w14:paraId="17DBEB65">
            <w:pPr>
              <w:rPr>
                <w:rFonts w:ascii="仿宋_GB2312" w:hAnsi="仿宋_GB2312" w:eastAsia="仿宋_GB2312" w:cs="仿宋_GB2312"/>
                <w:b/>
                <w:bCs/>
                <w:szCs w:val="21"/>
              </w:rPr>
            </w:pPr>
          </w:p>
        </w:tc>
        <w:tc>
          <w:tcPr>
            <w:tcW w:w="1119" w:type="dxa"/>
            <w:vAlign w:val="center"/>
          </w:tcPr>
          <w:p w14:paraId="7183A42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482" w:type="dxa"/>
            <w:gridSpan w:val="3"/>
            <w:vAlign w:val="center"/>
          </w:tcPr>
          <w:p w14:paraId="7F9FC52F">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完成各类文化活动</w:t>
            </w:r>
          </w:p>
        </w:tc>
        <w:tc>
          <w:tcPr>
            <w:tcW w:w="1623" w:type="dxa"/>
            <w:gridSpan w:val="2"/>
            <w:vAlign w:val="center"/>
          </w:tcPr>
          <w:p w14:paraId="2F83A100">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318" w:type="dxa"/>
            <w:vAlign w:val="center"/>
          </w:tcPr>
          <w:p w14:paraId="4F9C32F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425" w:type="dxa"/>
            <w:vAlign w:val="center"/>
          </w:tcPr>
          <w:p w14:paraId="621353FC">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398FE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2106E931">
            <w:pPr>
              <w:rPr>
                <w:rFonts w:ascii="仿宋_GB2312" w:hAnsi="仿宋_GB2312" w:eastAsia="仿宋_GB2312" w:cs="仿宋_GB2312"/>
                <w:szCs w:val="21"/>
              </w:rPr>
            </w:pPr>
          </w:p>
        </w:tc>
        <w:tc>
          <w:tcPr>
            <w:tcW w:w="689" w:type="dxa"/>
            <w:vMerge w:val="continue"/>
          </w:tcPr>
          <w:p w14:paraId="216975A2">
            <w:pPr>
              <w:rPr>
                <w:rFonts w:ascii="仿宋_GB2312" w:hAnsi="仿宋_GB2312" w:eastAsia="仿宋_GB2312" w:cs="仿宋_GB2312"/>
                <w:b/>
                <w:bCs/>
                <w:szCs w:val="21"/>
              </w:rPr>
            </w:pPr>
          </w:p>
        </w:tc>
        <w:tc>
          <w:tcPr>
            <w:tcW w:w="1119" w:type="dxa"/>
            <w:vAlign w:val="center"/>
          </w:tcPr>
          <w:p w14:paraId="2934051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482" w:type="dxa"/>
            <w:gridSpan w:val="3"/>
            <w:vAlign w:val="center"/>
          </w:tcPr>
          <w:p w14:paraId="2E267AE4">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623" w:type="dxa"/>
            <w:gridSpan w:val="2"/>
            <w:vAlign w:val="center"/>
          </w:tcPr>
          <w:p w14:paraId="26A8552E">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14:paraId="671ABED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14:paraId="5B73BB6D">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1ED1C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4AEB3E01">
            <w:pPr>
              <w:rPr>
                <w:rFonts w:ascii="仿宋_GB2312" w:hAnsi="仿宋_GB2312" w:eastAsia="仿宋_GB2312" w:cs="仿宋_GB2312"/>
                <w:szCs w:val="21"/>
              </w:rPr>
            </w:pPr>
          </w:p>
        </w:tc>
        <w:tc>
          <w:tcPr>
            <w:tcW w:w="689" w:type="dxa"/>
            <w:vMerge w:val="continue"/>
            <w:tcBorders>
              <w:bottom w:val="nil"/>
            </w:tcBorders>
          </w:tcPr>
          <w:p w14:paraId="511A196E">
            <w:pPr>
              <w:rPr>
                <w:rFonts w:ascii="仿宋_GB2312" w:hAnsi="仿宋_GB2312" w:eastAsia="仿宋_GB2312" w:cs="仿宋_GB2312"/>
                <w:b/>
                <w:bCs/>
                <w:szCs w:val="21"/>
              </w:rPr>
            </w:pPr>
          </w:p>
        </w:tc>
        <w:tc>
          <w:tcPr>
            <w:tcW w:w="1119" w:type="dxa"/>
            <w:vAlign w:val="center"/>
          </w:tcPr>
          <w:p w14:paraId="5516955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482" w:type="dxa"/>
            <w:gridSpan w:val="3"/>
            <w:vAlign w:val="center"/>
          </w:tcPr>
          <w:p w14:paraId="53E4485B">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623" w:type="dxa"/>
            <w:gridSpan w:val="2"/>
            <w:vAlign w:val="center"/>
          </w:tcPr>
          <w:p w14:paraId="73B26033">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14:paraId="2FA8260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14:paraId="26E2C9F9">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375C4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4540C19B">
            <w:pPr>
              <w:rPr>
                <w:rFonts w:ascii="仿宋_GB2312" w:hAnsi="仿宋_GB2312" w:eastAsia="仿宋_GB2312" w:cs="仿宋_GB2312"/>
                <w:szCs w:val="21"/>
              </w:rPr>
            </w:pPr>
          </w:p>
        </w:tc>
        <w:tc>
          <w:tcPr>
            <w:tcW w:w="689" w:type="dxa"/>
            <w:vMerge w:val="restart"/>
          </w:tcPr>
          <w:p w14:paraId="1406D84E">
            <w:pPr>
              <w:jc w:val="center"/>
              <w:rPr>
                <w:rFonts w:ascii="仿宋_GB2312" w:hAnsi="仿宋_GB2312" w:eastAsia="仿宋_GB2312" w:cs="仿宋_GB2312"/>
                <w:b/>
                <w:bCs/>
                <w:szCs w:val="21"/>
              </w:rPr>
            </w:pPr>
          </w:p>
          <w:p w14:paraId="1F292219">
            <w:pPr>
              <w:jc w:val="center"/>
              <w:rPr>
                <w:rFonts w:ascii="仿宋_GB2312" w:hAnsi="仿宋_GB2312" w:eastAsia="仿宋_GB2312" w:cs="仿宋_GB2312"/>
                <w:b/>
                <w:bCs/>
                <w:szCs w:val="21"/>
              </w:rPr>
            </w:pPr>
          </w:p>
          <w:p w14:paraId="7BC80FB2">
            <w:pPr>
              <w:jc w:val="center"/>
              <w:rPr>
                <w:rFonts w:ascii="仿宋_GB2312" w:hAnsi="仿宋_GB2312" w:eastAsia="仿宋_GB2312" w:cs="仿宋_GB2312"/>
                <w:b/>
                <w:bCs/>
                <w:szCs w:val="21"/>
              </w:rPr>
            </w:pPr>
          </w:p>
          <w:p w14:paraId="749DBB6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57E55B4B">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2FC74265">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482" w:type="dxa"/>
            <w:gridSpan w:val="3"/>
            <w:vAlign w:val="center"/>
          </w:tcPr>
          <w:p w14:paraId="789DE9EF">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组织实施文化活动实现社会效益和经济效益相统一。</w:t>
            </w:r>
          </w:p>
        </w:tc>
        <w:tc>
          <w:tcPr>
            <w:tcW w:w="1623" w:type="dxa"/>
            <w:gridSpan w:val="2"/>
            <w:vAlign w:val="center"/>
          </w:tcPr>
          <w:p w14:paraId="46B2C26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3C3D467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584E1D80">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14:paraId="4C012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35CE44C1">
            <w:pPr>
              <w:rPr>
                <w:rFonts w:ascii="仿宋_GB2312" w:hAnsi="仿宋_GB2312" w:eastAsia="仿宋_GB2312" w:cs="仿宋_GB2312"/>
                <w:szCs w:val="21"/>
              </w:rPr>
            </w:pPr>
          </w:p>
        </w:tc>
        <w:tc>
          <w:tcPr>
            <w:tcW w:w="689" w:type="dxa"/>
            <w:vMerge w:val="continue"/>
          </w:tcPr>
          <w:p w14:paraId="773F20FB">
            <w:pPr>
              <w:jc w:val="center"/>
              <w:rPr>
                <w:rFonts w:ascii="仿宋_GB2312" w:hAnsi="仿宋_GB2312" w:eastAsia="仿宋_GB2312" w:cs="仿宋_GB2312"/>
                <w:b/>
                <w:bCs/>
                <w:szCs w:val="21"/>
              </w:rPr>
            </w:pPr>
          </w:p>
        </w:tc>
        <w:tc>
          <w:tcPr>
            <w:tcW w:w="1119" w:type="dxa"/>
            <w:vAlign w:val="center"/>
          </w:tcPr>
          <w:p w14:paraId="0C25DCBF">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7F9854B2">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482" w:type="dxa"/>
            <w:gridSpan w:val="3"/>
            <w:vAlign w:val="center"/>
          </w:tcPr>
          <w:p w14:paraId="043E073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丰富全区人民精神文化生活，公共文化体育服务体系建设群众满意度高。</w:t>
            </w:r>
          </w:p>
        </w:tc>
        <w:tc>
          <w:tcPr>
            <w:tcW w:w="1623" w:type="dxa"/>
            <w:gridSpan w:val="2"/>
            <w:vAlign w:val="center"/>
          </w:tcPr>
          <w:p w14:paraId="3122550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0EAC9D6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3F6172D9">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14:paraId="5F8CD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5D012602">
            <w:pPr>
              <w:rPr>
                <w:rFonts w:ascii="仿宋_GB2312" w:hAnsi="仿宋_GB2312" w:eastAsia="仿宋_GB2312" w:cs="仿宋_GB2312"/>
                <w:szCs w:val="21"/>
              </w:rPr>
            </w:pPr>
          </w:p>
        </w:tc>
        <w:tc>
          <w:tcPr>
            <w:tcW w:w="689" w:type="dxa"/>
            <w:vMerge w:val="continue"/>
          </w:tcPr>
          <w:p w14:paraId="14DE2DCE">
            <w:pPr>
              <w:jc w:val="center"/>
              <w:rPr>
                <w:rFonts w:ascii="仿宋_GB2312" w:hAnsi="仿宋_GB2312" w:eastAsia="仿宋_GB2312" w:cs="仿宋_GB2312"/>
                <w:b/>
                <w:bCs/>
                <w:szCs w:val="21"/>
              </w:rPr>
            </w:pPr>
          </w:p>
        </w:tc>
        <w:tc>
          <w:tcPr>
            <w:tcW w:w="1119" w:type="dxa"/>
            <w:vAlign w:val="center"/>
          </w:tcPr>
          <w:p w14:paraId="6D2294B1">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482" w:type="dxa"/>
            <w:gridSpan w:val="3"/>
            <w:vAlign w:val="center"/>
          </w:tcPr>
          <w:p w14:paraId="1B7A8E5D">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623" w:type="dxa"/>
            <w:gridSpan w:val="2"/>
            <w:vAlign w:val="center"/>
          </w:tcPr>
          <w:p w14:paraId="495F3DC4">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318" w:type="dxa"/>
            <w:vAlign w:val="center"/>
          </w:tcPr>
          <w:p w14:paraId="18B95259">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25" w:type="dxa"/>
            <w:vAlign w:val="center"/>
          </w:tcPr>
          <w:p w14:paraId="0D791C86">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32065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22A5C368">
            <w:pPr>
              <w:rPr>
                <w:rFonts w:ascii="仿宋_GB2312" w:hAnsi="仿宋_GB2312" w:eastAsia="仿宋_GB2312" w:cs="仿宋_GB2312"/>
                <w:szCs w:val="21"/>
              </w:rPr>
            </w:pPr>
          </w:p>
        </w:tc>
        <w:tc>
          <w:tcPr>
            <w:tcW w:w="689" w:type="dxa"/>
            <w:vMerge w:val="continue"/>
            <w:tcBorders>
              <w:bottom w:val="nil"/>
            </w:tcBorders>
          </w:tcPr>
          <w:p w14:paraId="7B696049">
            <w:pPr>
              <w:jc w:val="center"/>
              <w:rPr>
                <w:rFonts w:ascii="仿宋_GB2312" w:hAnsi="仿宋_GB2312" w:eastAsia="仿宋_GB2312" w:cs="仿宋_GB2312"/>
                <w:b/>
                <w:bCs/>
                <w:szCs w:val="21"/>
              </w:rPr>
            </w:pPr>
          </w:p>
        </w:tc>
        <w:tc>
          <w:tcPr>
            <w:tcW w:w="1119" w:type="dxa"/>
            <w:vAlign w:val="center"/>
          </w:tcPr>
          <w:p w14:paraId="28834321">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482" w:type="dxa"/>
            <w:gridSpan w:val="3"/>
            <w:vAlign w:val="center"/>
          </w:tcPr>
          <w:p w14:paraId="7D64610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打造下陆区文化名片，提升下陆区知名度，文化活动助推旅游转型升级。</w:t>
            </w:r>
          </w:p>
        </w:tc>
        <w:tc>
          <w:tcPr>
            <w:tcW w:w="1623" w:type="dxa"/>
            <w:gridSpan w:val="2"/>
            <w:vAlign w:val="center"/>
          </w:tcPr>
          <w:p w14:paraId="26C66C4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6E10E72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一般</w:t>
            </w:r>
          </w:p>
        </w:tc>
        <w:tc>
          <w:tcPr>
            <w:tcW w:w="1425" w:type="dxa"/>
            <w:vAlign w:val="center"/>
          </w:tcPr>
          <w:p w14:paraId="03EA7CE8">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14:paraId="5A11D2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34930E77">
            <w:pPr>
              <w:rPr>
                <w:rFonts w:ascii="仿宋_GB2312" w:hAnsi="仿宋_GB2312" w:eastAsia="仿宋_GB2312" w:cs="仿宋_GB2312"/>
                <w:szCs w:val="21"/>
              </w:rPr>
            </w:pPr>
          </w:p>
        </w:tc>
        <w:tc>
          <w:tcPr>
            <w:tcW w:w="689" w:type="dxa"/>
            <w:tcBorders>
              <w:bottom w:val="nil"/>
            </w:tcBorders>
            <w:vAlign w:val="center"/>
          </w:tcPr>
          <w:p w14:paraId="6FCB105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672A7AB0">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6D1E564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2F1E90EC">
            <w:pPr>
              <w:jc w:val="center"/>
              <w:rPr>
                <w:rFonts w:ascii="仿宋_GB2312" w:hAnsi="仿宋_GB2312" w:eastAsia="仿宋_GB2312" w:cs="仿宋_GB2312"/>
                <w:b/>
                <w:bCs/>
                <w:szCs w:val="21"/>
              </w:rPr>
            </w:pPr>
          </w:p>
        </w:tc>
        <w:tc>
          <w:tcPr>
            <w:tcW w:w="1119" w:type="dxa"/>
            <w:vAlign w:val="center"/>
          </w:tcPr>
          <w:p w14:paraId="6CE315C2">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482" w:type="dxa"/>
            <w:gridSpan w:val="3"/>
            <w:vAlign w:val="center"/>
          </w:tcPr>
          <w:p w14:paraId="56D8481D">
            <w:pPr>
              <w:jc w:val="center"/>
              <w:rPr>
                <w:rFonts w:ascii="仿宋_GB2312" w:hAnsi="仿宋_GB2312" w:eastAsia="仿宋_GB2312" w:cs="仿宋_GB2312"/>
                <w:szCs w:val="21"/>
              </w:rPr>
            </w:pPr>
            <w:r>
              <w:rPr>
                <w:rFonts w:hint="eastAsia" w:ascii="仿宋_GB2312" w:hAnsi="仿宋_GB2312" w:eastAsia="仿宋_GB2312" w:cs="仿宋_GB2312"/>
                <w:szCs w:val="21"/>
              </w:rPr>
              <w:t>通过各类文化活动的开展，力争下陆区人民对区文化体育旅游服务中心活动实施开展的满意度达到较好水平。</w:t>
            </w:r>
          </w:p>
        </w:tc>
        <w:tc>
          <w:tcPr>
            <w:tcW w:w="1623" w:type="dxa"/>
            <w:gridSpan w:val="2"/>
            <w:vAlign w:val="center"/>
          </w:tcPr>
          <w:p w14:paraId="583EFC04">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14:paraId="4B93CBF3">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14:paraId="31065E7F">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26436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14" w:type="dxa"/>
          </w:tcPr>
          <w:p w14:paraId="143AAC94">
            <w:pPr>
              <w:spacing w:before="58" w:line="223" w:lineRule="auto"/>
              <w:ind w:right="115"/>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年度 绩效 目标</w:t>
            </w:r>
          </w:p>
          <w:p w14:paraId="597DCB0A">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2</w:t>
            </w:r>
          </w:p>
        </w:tc>
        <w:tc>
          <w:tcPr>
            <w:tcW w:w="689" w:type="dxa"/>
          </w:tcPr>
          <w:p w14:paraId="7FF0759F">
            <w:pPr>
              <w:rPr>
                <w:rFonts w:ascii="仿宋_GB2312" w:hAnsi="仿宋_GB2312" w:eastAsia="仿宋_GB2312" w:cs="仿宋_GB2312"/>
                <w:szCs w:val="21"/>
              </w:rPr>
            </w:pPr>
          </w:p>
        </w:tc>
        <w:tc>
          <w:tcPr>
            <w:tcW w:w="1119" w:type="dxa"/>
          </w:tcPr>
          <w:p w14:paraId="4AFFBD06">
            <w:pPr>
              <w:rPr>
                <w:rFonts w:ascii="仿宋_GB2312" w:hAnsi="仿宋_GB2312" w:eastAsia="仿宋_GB2312" w:cs="仿宋_GB2312"/>
                <w:szCs w:val="21"/>
              </w:rPr>
            </w:pPr>
          </w:p>
        </w:tc>
        <w:tc>
          <w:tcPr>
            <w:tcW w:w="2482" w:type="dxa"/>
            <w:gridSpan w:val="3"/>
          </w:tcPr>
          <w:p w14:paraId="1CE24537">
            <w:pPr>
              <w:rPr>
                <w:rFonts w:ascii="仿宋_GB2312" w:hAnsi="仿宋_GB2312" w:eastAsia="仿宋_GB2312" w:cs="仿宋_GB2312"/>
                <w:szCs w:val="21"/>
              </w:rPr>
            </w:pPr>
          </w:p>
        </w:tc>
        <w:tc>
          <w:tcPr>
            <w:tcW w:w="1623" w:type="dxa"/>
            <w:gridSpan w:val="2"/>
          </w:tcPr>
          <w:p w14:paraId="3D3AD854">
            <w:pPr>
              <w:rPr>
                <w:rFonts w:ascii="仿宋_GB2312" w:hAnsi="仿宋_GB2312" w:eastAsia="仿宋_GB2312" w:cs="仿宋_GB2312"/>
                <w:szCs w:val="21"/>
              </w:rPr>
            </w:pPr>
          </w:p>
        </w:tc>
        <w:tc>
          <w:tcPr>
            <w:tcW w:w="1318" w:type="dxa"/>
          </w:tcPr>
          <w:p w14:paraId="226FEB6A">
            <w:pPr>
              <w:rPr>
                <w:rFonts w:ascii="仿宋_GB2312" w:hAnsi="仿宋_GB2312" w:eastAsia="仿宋_GB2312" w:cs="仿宋_GB2312"/>
                <w:szCs w:val="21"/>
              </w:rPr>
            </w:pPr>
          </w:p>
        </w:tc>
        <w:tc>
          <w:tcPr>
            <w:tcW w:w="1425" w:type="dxa"/>
          </w:tcPr>
          <w:p w14:paraId="3B95E3EE">
            <w:pPr>
              <w:rPr>
                <w:rFonts w:ascii="仿宋_GB2312" w:hAnsi="仿宋_GB2312" w:eastAsia="仿宋_GB2312" w:cs="仿宋_GB2312"/>
                <w:szCs w:val="21"/>
              </w:rPr>
            </w:pPr>
          </w:p>
        </w:tc>
      </w:tr>
      <w:tr w14:paraId="41652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11055CE2">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34482400">
            <w:pPr>
              <w:jc w:val="center"/>
              <w:rPr>
                <w:rFonts w:ascii="仿宋_GB2312" w:hAnsi="仿宋_GB2312" w:eastAsia="仿宋_GB2312" w:cs="仿宋_GB2312"/>
                <w:szCs w:val="21"/>
              </w:rPr>
            </w:pPr>
            <w:r>
              <w:rPr>
                <w:rFonts w:hint="eastAsia" w:ascii="仿宋_GB2312" w:hAnsi="仿宋_GB2312" w:eastAsia="仿宋_GB2312" w:cs="仿宋_GB2312"/>
                <w:szCs w:val="21"/>
              </w:rPr>
              <w:t>95分</w:t>
            </w:r>
          </w:p>
        </w:tc>
      </w:tr>
      <w:tr w14:paraId="0B8FF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4" w:hRule="atLeast"/>
        </w:trPr>
        <w:tc>
          <w:tcPr>
            <w:tcW w:w="814" w:type="dxa"/>
            <w:vAlign w:val="center"/>
          </w:tcPr>
          <w:p w14:paraId="675FF26E">
            <w:pPr>
              <w:jc w:val="center"/>
              <w:rPr>
                <w:rFonts w:ascii="仿宋_GB2312" w:hAnsi="仿宋_GB2312" w:eastAsia="仿宋_GB2312" w:cs="仿宋_GB2312"/>
                <w:spacing w:val="4"/>
                <w:szCs w:val="21"/>
              </w:rPr>
            </w:pPr>
            <w:r>
              <w:rPr>
                <w:rFonts w:hint="eastAsia" w:ascii="仿宋_GB2312" w:hAnsi="仿宋_GB2312" w:eastAsia="仿宋_GB2312" w:cs="仿宋_GB2312"/>
              </w:rPr>
              <w:t>偏差大或目标未完成原因分析</w:t>
            </w:r>
          </w:p>
        </w:tc>
        <w:tc>
          <w:tcPr>
            <w:tcW w:w="8656" w:type="dxa"/>
            <w:gridSpan w:val="9"/>
            <w:vAlign w:val="center"/>
          </w:tcPr>
          <w:p w14:paraId="739561FE">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r w14:paraId="7B5E8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7" w:hRule="atLeast"/>
        </w:trPr>
        <w:tc>
          <w:tcPr>
            <w:tcW w:w="814" w:type="dxa"/>
            <w:vAlign w:val="center"/>
          </w:tcPr>
          <w:p w14:paraId="4A2201CF">
            <w:pPr>
              <w:spacing w:before="159" w:line="220" w:lineRule="auto"/>
              <w:jc w:val="left"/>
              <w:rPr>
                <w:rFonts w:ascii="仿宋_GB2312" w:hAnsi="仿宋_GB2312" w:eastAsia="仿宋_GB2312" w:cs="仿宋_GB2312"/>
                <w:spacing w:val="4"/>
                <w:szCs w:val="21"/>
              </w:rPr>
            </w:pPr>
            <w:r>
              <w:rPr>
                <w:rFonts w:hint="eastAsia" w:ascii="仿宋_GB2312" w:hAnsi="仿宋_GB2312" w:eastAsia="仿宋_GB2312" w:cs="仿宋_GB2312"/>
              </w:rPr>
              <w:t>改进措施及结果应用方案</w:t>
            </w:r>
          </w:p>
        </w:tc>
        <w:tc>
          <w:tcPr>
            <w:tcW w:w="8656" w:type="dxa"/>
            <w:gridSpan w:val="9"/>
            <w:vAlign w:val="center"/>
          </w:tcPr>
          <w:p w14:paraId="661639A3">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bl>
    <w:p w14:paraId="187A0F66">
      <w:pPr>
        <w:spacing w:line="400" w:lineRule="exact"/>
        <w:rPr>
          <w:rFonts w:hint="eastAsia" w:ascii="宋体" w:hAnsi="宋体" w:eastAsia="宋体" w:cs="宋体"/>
          <w:color w:val="000000"/>
          <w:kern w:val="0"/>
          <w:sz w:val="28"/>
          <w:szCs w:val="28"/>
          <w:lang w:val="en-US" w:eastAsia="zh-CN"/>
        </w:rPr>
      </w:pPr>
      <w:r>
        <w:rPr>
          <w:rFonts w:hint="eastAsia" w:ascii="宋体" w:hAnsi="宋体" w:eastAsia="宋体" w:cs="宋体"/>
          <w:color w:val="000000"/>
          <w:sz w:val="24"/>
          <w:shd w:val="clear" w:color="auto" w:fill="FFFFFF"/>
        </w:rPr>
        <w:br w:type="textWrapping"/>
      </w:r>
      <w:r>
        <w:rPr>
          <w:rStyle w:val="8"/>
          <w:rFonts w:hint="eastAsia" w:ascii="宋体" w:hAnsi="宋体" w:eastAsia="宋体" w:cs="宋体"/>
          <w:color w:val="000000"/>
          <w:sz w:val="28"/>
          <w:szCs w:val="28"/>
          <w:shd w:val="clear" w:color="auto" w:fill="FFFFFF"/>
        </w:rPr>
        <w:t>2.图书更新专项经费绩效自评</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kern w:val="0"/>
          <w:sz w:val="28"/>
          <w:szCs w:val="28"/>
          <w:lang w:val="en-US" w:eastAsia="zh-CN"/>
        </w:rPr>
        <w:t>项目全年预算数为1万元，其中：一般公共预算财政拨款1万元。执行数为1万元，完成预算100%。</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主要产出和效益：用于下陆区图书馆每年更新图书。一是更新图书≥400本；二是各类全新书籍达到100%；三是年内完成，四是丰富全区人民精神文化生活，公共文化体系建设群众满意度高，实际完成值：良好；五是打造下陆区文化体育名片，提升下陆区知名度。实际完成值：良好；六是三是通过通过图书更新，力争下陆区人民对区文化体育旅游服务中心活动实施开展的满意度达到较好水平，实际完成值：良好。</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发现的问题及原因：预算执行率基本达到预定目标，但受资金影响，更换要进一步加强。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下一步改进措施：结合以往年度实际情况，科学测算相关工作经费预算，进一步提高预算编制的准确性。</w:t>
      </w:r>
    </w:p>
    <w:p w14:paraId="5FF2DB55">
      <w:pPr>
        <w:spacing w:line="400" w:lineRule="exact"/>
        <w:jc w:val="center"/>
        <w:rPr>
          <w:rFonts w:hint="eastAsia" w:ascii="宋体" w:hAnsi="宋体" w:eastAsia="宋体" w:cs="宋体"/>
          <w:color w:val="000000"/>
          <w:sz w:val="24"/>
          <w:shd w:val="clear" w:color="auto" w:fill="FFFFFF"/>
        </w:rPr>
      </w:pPr>
      <w:r>
        <w:rPr>
          <w:rStyle w:val="8"/>
          <w:rFonts w:hint="eastAsia" w:ascii="宋体" w:hAnsi="宋体" w:eastAsia="宋体" w:cs="宋体"/>
          <w:color w:val="000000"/>
          <w:sz w:val="24"/>
          <w:shd w:val="clear" w:color="auto" w:fill="FFFFFF"/>
        </w:rPr>
        <w:t>图书更新专项经费绩效自评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204"/>
        <w:gridCol w:w="1502"/>
        <w:gridCol w:w="121"/>
        <w:gridCol w:w="1318"/>
        <w:gridCol w:w="1425"/>
      </w:tblGrid>
      <w:tr w14:paraId="7B052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705911C1">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77FAFAF0">
            <w:pPr>
              <w:jc w:val="center"/>
              <w:rPr>
                <w:rFonts w:ascii="仿宋_GB2312" w:hAnsi="仿宋_GB2312" w:eastAsia="仿宋_GB2312" w:cs="仿宋_GB2312"/>
                <w:szCs w:val="21"/>
              </w:rPr>
            </w:pPr>
            <w:r>
              <w:rPr>
                <w:rFonts w:hint="eastAsia" w:ascii="仿宋_GB2312" w:hAnsi="仿宋_GB2312" w:eastAsia="仿宋_GB2312" w:cs="仿宋_GB2312"/>
                <w:szCs w:val="21"/>
              </w:rPr>
              <w:t>图书更新经费</w:t>
            </w:r>
          </w:p>
        </w:tc>
      </w:tr>
      <w:tr w14:paraId="3BFD8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3482327E">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0670AF55">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14:paraId="0CE32009">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3B24F9AA">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黄石市下陆区文化体育旅游服务中心</w:t>
            </w:r>
          </w:p>
        </w:tc>
      </w:tr>
      <w:tr w14:paraId="39E89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1CCE1B6D">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472A835B">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      2、上级专项□</w:t>
            </w:r>
          </w:p>
        </w:tc>
      </w:tr>
      <w:tr w14:paraId="4CC6C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64F3E310">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01A38538">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        2、新增性项目□</w:t>
            </w:r>
          </w:p>
        </w:tc>
      </w:tr>
      <w:tr w14:paraId="4CB6F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2CEC52B3">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0C9C9C0D">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        2、延续性项目□       3、 一次性项目□</w:t>
            </w:r>
          </w:p>
        </w:tc>
      </w:tr>
      <w:tr w14:paraId="785C8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32C88788">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2F12FFCA">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566E9E2A">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7FDBDE7B">
            <w:pPr>
              <w:rPr>
                <w:rFonts w:ascii="仿宋_GB2312" w:hAnsi="仿宋_GB2312" w:eastAsia="仿宋_GB2312" w:cs="仿宋_GB2312"/>
                <w:szCs w:val="21"/>
              </w:rPr>
            </w:pPr>
          </w:p>
        </w:tc>
        <w:tc>
          <w:tcPr>
            <w:tcW w:w="1329" w:type="dxa"/>
          </w:tcPr>
          <w:p w14:paraId="6C8784CD">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153" w:type="dxa"/>
            <w:gridSpan w:val="2"/>
          </w:tcPr>
          <w:p w14:paraId="7EAB5326">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623" w:type="dxa"/>
            <w:gridSpan w:val="2"/>
          </w:tcPr>
          <w:p w14:paraId="548F710D">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46E5C6B4">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64970B35">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76940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44C458EA">
            <w:pPr>
              <w:rPr>
                <w:rFonts w:ascii="仿宋_GB2312" w:hAnsi="仿宋_GB2312" w:eastAsia="仿宋_GB2312" w:cs="仿宋_GB2312"/>
                <w:szCs w:val="21"/>
              </w:rPr>
            </w:pPr>
          </w:p>
        </w:tc>
        <w:tc>
          <w:tcPr>
            <w:tcW w:w="1119" w:type="dxa"/>
          </w:tcPr>
          <w:p w14:paraId="2F664DA1">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7A4E54CA">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153" w:type="dxa"/>
            <w:gridSpan w:val="2"/>
            <w:vAlign w:val="center"/>
          </w:tcPr>
          <w:p w14:paraId="432390BA">
            <w:pPr>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623" w:type="dxa"/>
            <w:gridSpan w:val="2"/>
            <w:vAlign w:val="center"/>
          </w:tcPr>
          <w:p w14:paraId="0856AACE">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1B669F56">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207F6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37967E6E">
            <w:pPr>
              <w:spacing w:line="269" w:lineRule="auto"/>
              <w:rPr>
                <w:rFonts w:ascii="仿宋_GB2312" w:hAnsi="仿宋_GB2312" w:eastAsia="仿宋_GB2312" w:cs="仿宋_GB2312"/>
                <w:szCs w:val="21"/>
              </w:rPr>
            </w:pPr>
          </w:p>
          <w:p w14:paraId="7DCC9B54">
            <w:pPr>
              <w:spacing w:line="269" w:lineRule="auto"/>
              <w:rPr>
                <w:rFonts w:ascii="仿宋_GB2312" w:hAnsi="仿宋_GB2312" w:eastAsia="仿宋_GB2312" w:cs="仿宋_GB2312"/>
                <w:szCs w:val="21"/>
              </w:rPr>
            </w:pPr>
          </w:p>
          <w:p w14:paraId="6C7BE68F">
            <w:pPr>
              <w:spacing w:line="269" w:lineRule="auto"/>
              <w:rPr>
                <w:rFonts w:ascii="仿宋_GB2312" w:hAnsi="仿宋_GB2312" w:eastAsia="仿宋_GB2312" w:cs="仿宋_GB2312"/>
                <w:szCs w:val="21"/>
              </w:rPr>
            </w:pPr>
          </w:p>
          <w:p w14:paraId="3D565796">
            <w:pPr>
              <w:spacing w:line="270" w:lineRule="auto"/>
              <w:rPr>
                <w:rFonts w:ascii="仿宋_GB2312" w:hAnsi="仿宋_GB2312" w:eastAsia="仿宋_GB2312" w:cs="仿宋_GB2312"/>
                <w:szCs w:val="21"/>
              </w:rPr>
            </w:pPr>
          </w:p>
          <w:p w14:paraId="66BC4BBF">
            <w:pPr>
              <w:spacing w:line="270" w:lineRule="auto"/>
              <w:rPr>
                <w:rFonts w:ascii="仿宋_GB2312" w:hAnsi="仿宋_GB2312" w:eastAsia="仿宋_GB2312" w:cs="仿宋_GB2312"/>
                <w:szCs w:val="21"/>
              </w:rPr>
            </w:pPr>
          </w:p>
          <w:p w14:paraId="722B5F35">
            <w:pPr>
              <w:spacing w:line="270" w:lineRule="auto"/>
              <w:rPr>
                <w:rFonts w:ascii="仿宋_GB2312" w:hAnsi="仿宋_GB2312" w:eastAsia="仿宋_GB2312" w:cs="仿宋_GB2312"/>
                <w:szCs w:val="21"/>
              </w:rPr>
            </w:pPr>
          </w:p>
          <w:p w14:paraId="23E02766">
            <w:pPr>
              <w:spacing w:line="270" w:lineRule="auto"/>
              <w:rPr>
                <w:rFonts w:ascii="仿宋_GB2312" w:hAnsi="仿宋_GB2312" w:eastAsia="仿宋_GB2312" w:cs="仿宋_GB2312"/>
                <w:szCs w:val="21"/>
              </w:rPr>
            </w:pPr>
          </w:p>
          <w:p w14:paraId="066130E0">
            <w:pPr>
              <w:jc w:val="center"/>
              <w:rPr>
                <w:rFonts w:ascii="仿宋_GB2312" w:hAnsi="仿宋_GB2312" w:eastAsia="仿宋_GB2312" w:cs="仿宋_GB2312"/>
                <w:b/>
                <w:bCs/>
                <w:szCs w:val="21"/>
              </w:rPr>
            </w:pPr>
          </w:p>
          <w:p w14:paraId="77590122">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7B8CE327">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5FA2C47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47C541BB">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59469347">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01821B8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7B8D2FB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6E49A01A">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508CF1F9">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731B0167">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482" w:type="dxa"/>
            <w:gridSpan w:val="3"/>
          </w:tcPr>
          <w:p w14:paraId="1A02322A">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623" w:type="dxa"/>
            <w:gridSpan w:val="2"/>
          </w:tcPr>
          <w:p w14:paraId="14B3839C">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32E3799A">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14:paraId="6723E7D2">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27E72E69">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14:paraId="6AAA5C7C">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64ABE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23421A55">
            <w:pPr>
              <w:rPr>
                <w:rFonts w:ascii="仿宋_GB2312" w:hAnsi="仿宋_GB2312" w:eastAsia="仿宋_GB2312" w:cs="仿宋_GB2312"/>
                <w:szCs w:val="21"/>
              </w:rPr>
            </w:pPr>
          </w:p>
        </w:tc>
        <w:tc>
          <w:tcPr>
            <w:tcW w:w="689" w:type="dxa"/>
            <w:vMerge w:val="restart"/>
          </w:tcPr>
          <w:p w14:paraId="32F3329D">
            <w:pPr>
              <w:rPr>
                <w:rFonts w:ascii="仿宋_GB2312" w:hAnsi="仿宋_GB2312" w:eastAsia="仿宋_GB2312" w:cs="仿宋_GB2312"/>
                <w:b/>
                <w:bCs/>
                <w:szCs w:val="21"/>
              </w:rPr>
            </w:pPr>
          </w:p>
          <w:p w14:paraId="0C780424">
            <w:pPr>
              <w:rPr>
                <w:rFonts w:ascii="仿宋_GB2312" w:hAnsi="仿宋_GB2312" w:eastAsia="仿宋_GB2312" w:cs="仿宋_GB2312"/>
                <w:b/>
                <w:bCs/>
                <w:szCs w:val="21"/>
              </w:rPr>
            </w:pPr>
          </w:p>
          <w:p w14:paraId="5F9971F3">
            <w:pPr>
              <w:rPr>
                <w:rFonts w:ascii="仿宋_GB2312" w:hAnsi="仿宋_GB2312" w:eastAsia="仿宋_GB2312" w:cs="仿宋_GB2312"/>
                <w:b/>
                <w:bCs/>
                <w:szCs w:val="21"/>
              </w:rPr>
            </w:pPr>
          </w:p>
          <w:p w14:paraId="25D0BFF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2ED2A64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08CEDAB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34CA1FF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482" w:type="dxa"/>
            <w:gridSpan w:val="3"/>
            <w:vAlign w:val="center"/>
          </w:tcPr>
          <w:p w14:paraId="6B36E641">
            <w:pPr>
              <w:widowControl/>
              <w:jc w:val="center"/>
              <w:textAlignment w:val="center"/>
              <w:rPr>
                <w:rFonts w:ascii="仿宋_GB2312" w:hAnsi="仿宋_GB2312" w:eastAsia="仿宋_GB2312" w:cs="仿宋_GB2312"/>
                <w:kern w:val="0"/>
                <w:szCs w:val="21"/>
              </w:rPr>
            </w:pPr>
            <w:r>
              <w:rPr>
                <w:color w:val="000000"/>
                <w:sz w:val="20"/>
              </w:rPr>
              <w:t>更新图书</w:t>
            </w:r>
          </w:p>
        </w:tc>
        <w:tc>
          <w:tcPr>
            <w:tcW w:w="1623" w:type="dxa"/>
            <w:gridSpan w:val="2"/>
            <w:vAlign w:val="center"/>
          </w:tcPr>
          <w:p w14:paraId="300A3F94">
            <w:pPr>
              <w:widowControl/>
              <w:jc w:val="center"/>
              <w:textAlignment w:val="center"/>
              <w:rPr>
                <w:rFonts w:ascii="仿宋_GB2312" w:hAnsi="仿宋_GB2312" w:eastAsia="仿宋_GB2312" w:cs="仿宋_GB2312"/>
                <w:kern w:val="0"/>
                <w:szCs w:val="21"/>
              </w:rPr>
            </w:pPr>
            <w:r>
              <w:rPr>
                <w:color w:val="000000"/>
                <w:sz w:val="20"/>
              </w:rPr>
              <w:t>400册</w:t>
            </w:r>
          </w:p>
        </w:tc>
        <w:tc>
          <w:tcPr>
            <w:tcW w:w="1318" w:type="dxa"/>
            <w:vAlign w:val="center"/>
          </w:tcPr>
          <w:p w14:paraId="64C673F7">
            <w:pPr>
              <w:widowControl/>
              <w:jc w:val="center"/>
              <w:rPr>
                <w:rFonts w:ascii="仿宋_GB2312" w:hAnsi="仿宋_GB2312" w:eastAsia="仿宋_GB2312" w:cs="仿宋_GB2312"/>
                <w:kern w:val="0"/>
                <w:szCs w:val="21"/>
              </w:rPr>
            </w:pPr>
            <w:r>
              <w:rPr>
                <w:color w:val="000000"/>
                <w:sz w:val="20"/>
              </w:rPr>
              <w:t>400册</w:t>
            </w:r>
          </w:p>
        </w:tc>
        <w:tc>
          <w:tcPr>
            <w:tcW w:w="1425" w:type="dxa"/>
            <w:vAlign w:val="center"/>
          </w:tcPr>
          <w:p w14:paraId="40CB98DC">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6F1F8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205AB5E3">
            <w:pPr>
              <w:rPr>
                <w:rFonts w:ascii="仿宋_GB2312" w:hAnsi="仿宋_GB2312" w:eastAsia="仿宋_GB2312" w:cs="仿宋_GB2312"/>
                <w:szCs w:val="21"/>
              </w:rPr>
            </w:pPr>
          </w:p>
        </w:tc>
        <w:tc>
          <w:tcPr>
            <w:tcW w:w="689" w:type="dxa"/>
            <w:vMerge w:val="continue"/>
          </w:tcPr>
          <w:p w14:paraId="0F9F2646">
            <w:pPr>
              <w:rPr>
                <w:rFonts w:ascii="仿宋_GB2312" w:hAnsi="仿宋_GB2312" w:eastAsia="仿宋_GB2312" w:cs="仿宋_GB2312"/>
                <w:b/>
                <w:bCs/>
                <w:szCs w:val="21"/>
              </w:rPr>
            </w:pPr>
          </w:p>
        </w:tc>
        <w:tc>
          <w:tcPr>
            <w:tcW w:w="1119" w:type="dxa"/>
            <w:vAlign w:val="center"/>
          </w:tcPr>
          <w:p w14:paraId="68EF66F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482" w:type="dxa"/>
            <w:gridSpan w:val="3"/>
            <w:vAlign w:val="center"/>
          </w:tcPr>
          <w:p w14:paraId="1381D42E">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完成情况</w:t>
            </w:r>
          </w:p>
        </w:tc>
        <w:tc>
          <w:tcPr>
            <w:tcW w:w="1623" w:type="dxa"/>
            <w:gridSpan w:val="2"/>
            <w:vAlign w:val="center"/>
          </w:tcPr>
          <w:p w14:paraId="1CCD1D69">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318" w:type="dxa"/>
            <w:vAlign w:val="center"/>
          </w:tcPr>
          <w:p w14:paraId="737E482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425" w:type="dxa"/>
            <w:vAlign w:val="center"/>
          </w:tcPr>
          <w:p w14:paraId="6373476E">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524FB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0896E2FC">
            <w:pPr>
              <w:rPr>
                <w:rFonts w:ascii="仿宋_GB2312" w:hAnsi="仿宋_GB2312" w:eastAsia="仿宋_GB2312" w:cs="仿宋_GB2312"/>
                <w:szCs w:val="21"/>
              </w:rPr>
            </w:pPr>
          </w:p>
        </w:tc>
        <w:tc>
          <w:tcPr>
            <w:tcW w:w="689" w:type="dxa"/>
            <w:vMerge w:val="continue"/>
          </w:tcPr>
          <w:p w14:paraId="4EA71E66">
            <w:pPr>
              <w:rPr>
                <w:rFonts w:ascii="仿宋_GB2312" w:hAnsi="仿宋_GB2312" w:eastAsia="仿宋_GB2312" w:cs="仿宋_GB2312"/>
                <w:b/>
                <w:bCs/>
                <w:szCs w:val="21"/>
              </w:rPr>
            </w:pPr>
          </w:p>
        </w:tc>
        <w:tc>
          <w:tcPr>
            <w:tcW w:w="1119" w:type="dxa"/>
            <w:vAlign w:val="center"/>
          </w:tcPr>
          <w:p w14:paraId="1859E70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482" w:type="dxa"/>
            <w:gridSpan w:val="3"/>
            <w:vAlign w:val="center"/>
          </w:tcPr>
          <w:p w14:paraId="3492FAAA">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623" w:type="dxa"/>
            <w:gridSpan w:val="2"/>
            <w:vAlign w:val="center"/>
          </w:tcPr>
          <w:p w14:paraId="59F2622B">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14:paraId="2120D15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14:paraId="0DE2221D">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58C3D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4B700D42">
            <w:pPr>
              <w:rPr>
                <w:rFonts w:ascii="仿宋_GB2312" w:hAnsi="仿宋_GB2312" w:eastAsia="仿宋_GB2312" w:cs="仿宋_GB2312"/>
                <w:szCs w:val="21"/>
              </w:rPr>
            </w:pPr>
          </w:p>
        </w:tc>
        <w:tc>
          <w:tcPr>
            <w:tcW w:w="689" w:type="dxa"/>
            <w:vMerge w:val="continue"/>
            <w:tcBorders>
              <w:bottom w:val="nil"/>
            </w:tcBorders>
          </w:tcPr>
          <w:p w14:paraId="771FEF39">
            <w:pPr>
              <w:rPr>
                <w:rFonts w:ascii="仿宋_GB2312" w:hAnsi="仿宋_GB2312" w:eastAsia="仿宋_GB2312" w:cs="仿宋_GB2312"/>
                <w:b/>
                <w:bCs/>
                <w:szCs w:val="21"/>
              </w:rPr>
            </w:pPr>
          </w:p>
        </w:tc>
        <w:tc>
          <w:tcPr>
            <w:tcW w:w="1119" w:type="dxa"/>
            <w:vAlign w:val="center"/>
          </w:tcPr>
          <w:p w14:paraId="5074AD6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482" w:type="dxa"/>
            <w:gridSpan w:val="3"/>
            <w:vAlign w:val="center"/>
          </w:tcPr>
          <w:p w14:paraId="48BE9A75">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623" w:type="dxa"/>
            <w:gridSpan w:val="2"/>
            <w:vAlign w:val="center"/>
          </w:tcPr>
          <w:p w14:paraId="02AD5145">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14:paraId="1555C4D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14:paraId="1879DA0E">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7456F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397950E9">
            <w:pPr>
              <w:rPr>
                <w:rFonts w:ascii="仿宋_GB2312" w:hAnsi="仿宋_GB2312" w:eastAsia="仿宋_GB2312" w:cs="仿宋_GB2312"/>
                <w:szCs w:val="21"/>
              </w:rPr>
            </w:pPr>
          </w:p>
        </w:tc>
        <w:tc>
          <w:tcPr>
            <w:tcW w:w="689" w:type="dxa"/>
            <w:vMerge w:val="restart"/>
          </w:tcPr>
          <w:p w14:paraId="6CA5B9EC">
            <w:pPr>
              <w:jc w:val="center"/>
              <w:rPr>
                <w:rFonts w:ascii="仿宋_GB2312" w:hAnsi="仿宋_GB2312" w:eastAsia="仿宋_GB2312" w:cs="仿宋_GB2312"/>
                <w:b/>
                <w:bCs/>
                <w:szCs w:val="21"/>
              </w:rPr>
            </w:pPr>
          </w:p>
          <w:p w14:paraId="7C5099BA">
            <w:pPr>
              <w:jc w:val="center"/>
              <w:rPr>
                <w:rFonts w:ascii="仿宋_GB2312" w:hAnsi="仿宋_GB2312" w:eastAsia="仿宋_GB2312" w:cs="仿宋_GB2312"/>
                <w:b/>
                <w:bCs/>
                <w:szCs w:val="21"/>
              </w:rPr>
            </w:pPr>
          </w:p>
          <w:p w14:paraId="7BAAAC01">
            <w:pPr>
              <w:jc w:val="center"/>
              <w:rPr>
                <w:rFonts w:ascii="仿宋_GB2312" w:hAnsi="仿宋_GB2312" w:eastAsia="仿宋_GB2312" w:cs="仿宋_GB2312"/>
                <w:b/>
                <w:bCs/>
                <w:szCs w:val="21"/>
              </w:rPr>
            </w:pPr>
          </w:p>
          <w:p w14:paraId="13F3199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6D68E82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4D230EA2">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482" w:type="dxa"/>
            <w:gridSpan w:val="3"/>
            <w:vAlign w:val="center"/>
          </w:tcPr>
          <w:p w14:paraId="299139E7">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组织实施文化活动实现社会效益和经济效益相统一。</w:t>
            </w:r>
          </w:p>
        </w:tc>
        <w:tc>
          <w:tcPr>
            <w:tcW w:w="1623" w:type="dxa"/>
            <w:gridSpan w:val="2"/>
            <w:vAlign w:val="center"/>
          </w:tcPr>
          <w:p w14:paraId="52A8672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5D1E2AB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30D10BD3">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14:paraId="6BA4A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71872CB3">
            <w:pPr>
              <w:rPr>
                <w:rFonts w:ascii="仿宋_GB2312" w:hAnsi="仿宋_GB2312" w:eastAsia="仿宋_GB2312" w:cs="仿宋_GB2312"/>
                <w:szCs w:val="21"/>
              </w:rPr>
            </w:pPr>
          </w:p>
        </w:tc>
        <w:tc>
          <w:tcPr>
            <w:tcW w:w="689" w:type="dxa"/>
            <w:vMerge w:val="continue"/>
          </w:tcPr>
          <w:p w14:paraId="7F4A0018">
            <w:pPr>
              <w:jc w:val="center"/>
              <w:rPr>
                <w:rFonts w:ascii="仿宋_GB2312" w:hAnsi="仿宋_GB2312" w:eastAsia="仿宋_GB2312" w:cs="仿宋_GB2312"/>
                <w:b/>
                <w:bCs/>
                <w:szCs w:val="21"/>
              </w:rPr>
            </w:pPr>
          </w:p>
        </w:tc>
        <w:tc>
          <w:tcPr>
            <w:tcW w:w="1119" w:type="dxa"/>
            <w:vAlign w:val="center"/>
          </w:tcPr>
          <w:p w14:paraId="3C978698">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41E015A6">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482" w:type="dxa"/>
            <w:gridSpan w:val="3"/>
            <w:vAlign w:val="center"/>
          </w:tcPr>
          <w:p w14:paraId="32F72A6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丰富全区人民精神文化生活，公共文化体育服务体系建设群众满意度高。</w:t>
            </w:r>
          </w:p>
        </w:tc>
        <w:tc>
          <w:tcPr>
            <w:tcW w:w="1623" w:type="dxa"/>
            <w:gridSpan w:val="2"/>
            <w:vAlign w:val="center"/>
          </w:tcPr>
          <w:p w14:paraId="314FD63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324514C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45288536">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14:paraId="05E94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1D572A09">
            <w:pPr>
              <w:rPr>
                <w:rFonts w:ascii="仿宋_GB2312" w:hAnsi="仿宋_GB2312" w:eastAsia="仿宋_GB2312" w:cs="仿宋_GB2312"/>
                <w:szCs w:val="21"/>
              </w:rPr>
            </w:pPr>
          </w:p>
        </w:tc>
        <w:tc>
          <w:tcPr>
            <w:tcW w:w="689" w:type="dxa"/>
            <w:vMerge w:val="continue"/>
          </w:tcPr>
          <w:p w14:paraId="57EA9E68">
            <w:pPr>
              <w:jc w:val="center"/>
              <w:rPr>
                <w:rFonts w:ascii="仿宋_GB2312" w:hAnsi="仿宋_GB2312" w:eastAsia="仿宋_GB2312" w:cs="仿宋_GB2312"/>
                <w:b/>
                <w:bCs/>
                <w:szCs w:val="21"/>
              </w:rPr>
            </w:pPr>
          </w:p>
        </w:tc>
        <w:tc>
          <w:tcPr>
            <w:tcW w:w="1119" w:type="dxa"/>
            <w:vAlign w:val="center"/>
          </w:tcPr>
          <w:p w14:paraId="3E7F6CB0">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482" w:type="dxa"/>
            <w:gridSpan w:val="3"/>
            <w:vAlign w:val="center"/>
          </w:tcPr>
          <w:p w14:paraId="25142649">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623" w:type="dxa"/>
            <w:gridSpan w:val="2"/>
            <w:vAlign w:val="center"/>
          </w:tcPr>
          <w:p w14:paraId="3FE5D549">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318" w:type="dxa"/>
            <w:vAlign w:val="center"/>
          </w:tcPr>
          <w:p w14:paraId="1AD74918">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25" w:type="dxa"/>
            <w:vAlign w:val="center"/>
          </w:tcPr>
          <w:p w14:paraId="40B3CD4B">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3B986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450A590A">
            <w:pPr>
              <w:rPr>
                <w:rFonts w:ascii="仿宋_GB2312" w:hAnsi="仿宋_GB2312" w:eastAsia="仿宋_GB2312" w:cs="仿宋_GB2312"/>
                <w:szCs w:val="21"/>
              </w:rPr>
            </w:pPr>
          </w:p>
        </w:tc>
        <w:tc>
          <w:tcPr>
            <w:tcW w:w="689" w:type="dxa"/>
            <w:vMerge w:val="continue"/>
            <w:tcBorders>
              <w:bottom w:val="nil"/>
            </w:tcBorders>
          </w:tcPr>
          <w:p w14:paraId="18424937">
            <w:pPr>
              <w:jc w:val="center"/>
              <w:rPr>
                <w:rFonts w:ascii="仿宋_GB2312" w:hAnsi="仿宋_GB2312" w:eastAsia="仿宋_GB2312" w:cs="仿宋_GB2312"/>
                <w:b/>
                <w:bCs/>
                <w:szCs w:val="21"/>
              </w:rPr>
            </w:pPr>
          </w:p>
        </w:tc>
        <w:tc>
          <w:tcPr>
            <w:tcW w:w="1119" w:type="dxa"/>
            <w:vAlign w:val="center"/>
          </w:tcPr>
          <w:p w14:paraId="50027CE8">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482" w:type="dxa"/>
            <w:gridSpan w:val="3"/>
            <w:vAlign w:val="center"/>
          </w:tcPr>
          <w:p w14:paraId="7C16008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打造下陆区文化名片，提升下陆区知名度，文化活动助推旅游转型升级。</w:t>
            </w:r>
          </w:p>
        </w:tc>
        <w:tc>
          <w:tcPr>
            <w:tcW w:w="1623" w:type="dxa"/>
            <w:gridSpan w:val="2"/>
            <w:vAlign w:val="center"/>
          </w:tcPr>
          <w:p w14:paraId="4A13B0E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38523B3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一般</w:t>
            </w:r>
          </w:p>
        </w:tc>
        <w:tc>
          <w:tcPr>
            <w:tcW w:w="1425" w:type="dxa"/>
            <w:vAlign w:val="center"/>
          </w:tcPr>
          <w:p w14:paraId="0DA017BE">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14:paraId="19F63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7CAB3A44">
            <w:pPr>
              <w:rPr>
                <w:rFonts w:ascii="仿宋_GB2312" w:hAnsi="仿宋_GB2312" w:eastAsia="仿宋_GB2312" w:cs="仿宋_GB2312"/>
                <w:szCs w:val="21"/>
              </w:rPr>
            </w:pPr>
          </w:p>
        </w:tc>
        <w:tc>
          <w:tcPr>
            <w:tcW w:w="689" w:type="dxa"/>
            <w:tcBorders>
              <w:bottom w:val="nil"/>
            </w:tcBorders>
            <w:vAlign w:val="center"/>
          </w:tcPr>
          <w:p w14:paraId="074B4B64">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136FF98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63CBEA0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014E0E44">
            <w:pPr>
              <w:jc w:val="center"/>
              <w:rPr>
                <w:rFonts w:ascii="仿宋_GB2312" w:hAnsi="仿宋_GB2312" w:eastAsia="仿宋_GB2312" w:cs="仿宋_GB2312"/>
                <w:b/>
                <w:bCs/>
                <w:szCs w:val="21"/>
              </w:rPr>
            </w:pPr>
          </w:p>
        </w:tc>
        <w:tc>
          <w:tcPr>
            <w:tcW w:w="1119" w:type="dxa"/>
            <w:vAlign w:val="center"/>
          </w:tcPr>
          <w:p w14:paraId="2519BA47">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482" w:type="dxa"/>
            <w:gridSpan w:val="3"/>
            <w:vAlign w:val="center"/>
          </w:tcPr>
          <w:p w14:paraId="3C198606">
            <w:pPr>
              <w:jc w:val="center"/>
              <w:rPr>
                <w:rFonts w:ascii="仿宋_GB2312" w:hAnsi="仿宋_GB2312" w:eastAsia="仿宋_GB2312" w:cs="仿宋_GB2312"/>
                <w:szCs w:val="21"/>
              </w:rPr>
            </w:pPr>
            <w:r>
              <w:rPr>
                <w:rFonts w:hint="eastAsia" w:ascii="仿宋_GB2312" w:hAnsi="仿宋_GB2312" w:eastAsia="仿宋_GB2312" w:cs="仿宋_GB2312"/>
                <w:szCs w:val="21"/>
              </w:rPr>
              <w:t>通过各类文化活动的开展，力争下陆区人民对区文化体育旅游服务中心活动实施开展的满意度达到较好水平。</w:t>
            </w:r>
          </w:p>
        </w:tc>
        <w:tc>
          <w:tcPr>
            <w:tcW w:w="1623" w:type="dxa"/>
            <w:gridSpan w:val="2"/>
            <w:vAlign w:val="center"/>
          </w:tcPr>
          <w:p w14:paraId="26977983">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14:paraId="046F1C7A">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14:paraId="66FF1EB8">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08B00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14" w:type="dxa"/>
          </w:tcPr>
          <w:p w14:paraId="470E3760">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14:paraId="1DD57ECD">
            <w:pPr>
              <w:rPr>
                <w:rFonts w:ascii="仿宋_GB2312" w:hAnsi="仿宋_GB2312" w:eastAsia="仿宋_GB2312" w:cs="仿宋_GB2312"/>
                <w:szCs w:val="21"/>
              </w:rPr>
            </w:pPr>
          </w:p>
        </w:tc>
        <w:tc>
          <w:tcPr>
            <w:tcW w:w="1119" w:type="dxa"/>
          </w:tcPr>
          <w:p w14:paraId="3D034029">
            <w:pPr>
              <w:rPr>
                <w:rFonts w:ascii="仿宋_GB2312" w:hAnsi="仿宋_GB2312" w:eastAsia="仿宋_GB2312" w:cs="仿宋_GB2312"/>
                <w:szCs w:val="21"/>
              </w:rPr>
            </w:pPr>
          </w:p>
        </w:tc>
        <w:tc>
          <w:tcPr>
            <w:tcW w:w="2482" w:type="dxa"/>
            <w:gridSpan w:val="3"/>
          </w:tcPr>
          <w:p w14:paraId="3D98842D">
            <w:pPr>
              <w:rPr>
                <w:rFonts w:ascii="仿宋_GB2312" w:hAnsi="仿宋_GB2312" w:eastAsia="仿宋_GB2312" w:cs="仿宋_GB2312"/>
                <w:szCs w:val="21"/>
              </w:rPr>
            </w:pPr>
          </w:p>
        </w:tc>
        <w:tc>
          <w:tcPr>
            <w:tcW w:w="1623" w:type="dxa"/>
            <w:gridSpan w:val="2"/>
          </w:tcPr>
          <w:p w14:paraId="3B625E57">
            <w:pPr>
              <w:rPr>
                <w:rFonts w:ascii="仿宋_GB2312" w:hAnsi="仿宋_GB2312" w:eastAsia="仿宋_GB2312" w:cs="仿宋_GB2312"/>
                <w:szCs w:val="21"/>
              </w:rPr>
            </w:pPr>
          </w:p>
        </w:tc>
        <w:tc>
          <w:tcPr>
            <w:tcW w:w="1318" w:type="dxa"/>
          </w:tcPr>
          <w:p w14:paraId="4CAF779E">
            <w:pPr>
              <w:rPr>
                <w:rFonts w:ascii="仿宋_GB2312" w:hAnsi="仿宋_GB2312" w:eastAsia="仿宋_GB2312" w:cs="仿宋_GB2312"/>
                <w:szCs w:val="21"/>
              </w:rPr>
            </w:pPr>
          </w:p>
        </w:tc>
        <w:tc>
          <w:tcPr>
            <w:tcW w:w="1425" w:type="dxa"/>
          </w:tcPr>
          <w:p w14:paraId="797748A8">
            <w:pPr>
              <w:rPr>
                <w:rFonts w:ascii="仿宋_GB2312" w:hAnsi="仿宋_GB2312" w:eastAsia="仿宋_GB2312" w:cs="仿宋_GB2312"/>
                <w:szCs w:val="21"/>
              </w:rPr>
            </w:pPr>
          </w:p>
        </w:tc>
      </w:tr>
      <w:tr w14:paraId="47FC4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069A4653">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442642AD">
            <w:pPr>
              <w:jc w:val="center"/>
              <w:rPr>
                <w:rFonts w:ascii="仿宋_GB2312" w:hAnsi="仿宋_GB2312" w:eastAsia="仿宋_GB2312" w:cs="仿宋_GB2312"/>
                <w:szCs w:val="21"/>
              </w:rPr>
            </w:pPr>
            <w:r>
              <w:rPr>
                <w:rFonts w:hint="eastAsia" w:ascii="仿宋_GB2312" w:hAnsi="仿宋_GB2312" w:eastAsia="仿宋_GB2312" w:cs="仿宋_GB2312"/>
                <w:szCs w:val="21"/>
              </w:rPr>
              <w:t>96分</w:t>
            </w:r>
          </w:p>
        </w:tc>
      </w:tr>
      <w:tr w14:paraId="208D9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814" w:type="dxa"/>
            <w:vAlign w:val="center"/>
          </w:tcPr>
          <w:p w14:paraId="72EFF904">
            <w:pPr>
              <w:jc w:val="center"/>
              <w:rPr>
                <w:rFonts w:ascii="仿宋_GB2312" w:hAnsi="仿宋_GB2312" w:eastAsia="仿宋_GB2312" w:cs="仿宋_GB2312"/>
                <w:b w:val="0"/>
                <w:bCs w:val="0"/>
                <w:spacing w:val="4"/>
                <w:szCs w:val="21"/>
              </w:rPr>
            </w:pPr>
            <w:r>
              <w:rPr>
                <w:rFonts w:hint="eastAsia" w:ascii="仿宋_GB2312" w:hAnsi="仿宋_GB2312" w:eastAsia="仿宋_GB2312" w:cs="仿宋_GB2312"/>
                <w:b w:val="0"/>
                <w:bCs w:val="0"/>
              </w:rPr>
              <w:t>偏差大或目标未完成原因分析</w:t>
            </w:r>
          </w:p>
        </w:tc>
        <w:tc>
          <w:tcPr>
            <w:tcW w:w="8656" w:type="dxa"/>
            <w:gridSpan w:val="9"/>
            <w:vAlign w:val="center"/>
          </w:tcPr>
          <w:p w14:paraId="34BDF791">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r w14:paraId="2694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814" w:type="dxa"/>
            <w:vAlign w:val="center"/>
          </w:tcPr>
          <w:p w14:paraId="0AC19C34">
            <w:pPr>
              <w:spacing w:before="159" w:line="220" w:lineRule="auto"/>
              <w:jc w:val="left"/>
              <w:rPr>
                <w:rFonts w:ascii="仿宋_GB2312" w:hAnsi="仿宋_GB2312" w:eastAsia="仿宋_GB2312" w:cs="仿宋_GB2312"/>
                <w:b w:val="0"/>
                <w:bCs w:val="0"/>
                <w:spacing w:val="4"/>
                <w:szCs w:val="21"/>
              </w:rPr>
            </w:pPr>
            <w:r>
              <w:rPr>
                <w:rFonts w:hint="eastAsia" w:ascii="仿宋_GB2312" w:hAnsi="仿宋_GB2312" w:eastAsia="仿宋_GB2312" w:cs="仿宋_GB2312"/>
                <w:b w:val="0"/>
                <w:bCs w:val="0"/>
              </w:rPr>
              <w:t>改进措施及结果应用方案</w:t>
            </w:r>
          </w:p>
        </w:tc>
        <w:tc>
          <w:tcPr>
            <w:tcW w:w="8656" w:type="dxa"/>
            <w:gridSpan w:val="9"/>
            <w:vAlign w:val="center"/>
          </w:tcPr>
          <w:p w14:paraId="45EE23C4">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bl>
    <w:p w14:paraId="295DD77F">
      <w:pPr>
        <w:spacing w:line="400" w:lineRule="exact"/>
        <w:rPr>
          <w:rFonts w:hint="eastAsia" w:ascii="宋体" w:hAnsi="宋体" w:eastAsia="宋体" w:cs="宋体"/>
          <w:color w:val="000000"/>
          <w:kern w:val="0"/>
          <w:sz w:val="28"/>
          <w:szCs w:val="28"/>
          <w:lang w:val="en-US" w:eastAsia="zh-CN"/>
        </w:rPr>
      </w:pPr>
      <w:r>
        <w:rPr>
          <w:rStyle w:val="8"/>
          <w:rFonts w:hint="eastAsia" w:ascii="宋体" w:hAnsi="宋体" w:eastAsia="宋体" w:cs="宋体"/>
          <w:color w:val="000000"/>
          <w:sz w:val="28"/>
          <w:szCs w:val="28"/>
          <w:shd w:val="clear" w:color="auto" w:fill="FFFFFF"/>
        </w:rPr>
        <w:t>（三）绩效评级结果应用情况</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kern w:val="0"/>
          <w:sz w:val="28"/>
          <w:szCs w:val="28"/>
          <w:lang w:val="en-US" w:eastAsia="zh-CN"/>
        </w:rPr>
        <w:t>加强绩效评价结果应用，我单位将绩效自评结果作为以后年度该项目预算编制和安排财政资金的重要参考依据；将绩效自评结果按照要求向社会公开，自觉接受社会监督。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hint="eastAsia" w:ascii="宋体" w:hAnsi="宋体" w:eastAsia="宋体" w:cs="宋体"/>
          <w:color w:val="000000"/>
          <w:kern w:val="0"/>
          <w:sz w:val="28"/>
          <w:szCs w:val="28"/>
          <w:lang w:val="en-US" w:eastAsia="zh-CN"/>
        </w:rPr>
        <w:br w:type="textWrapping"/>
      </w:r>
      <w:r>
        <w:rPr>
          <w:rStyle w:val="8"/>
          <w:rFonts w:hint="eastAsia" w:ascii="宋体" w:hAnsi="宋体" w:eastAsia="宋体" w:cs="宋体"/>
          <w:color w:val="000000"/>
          <w:sz w:val="28"/>
          <w:szCs w:val="28"/>
          <w:shd w:val="clear" w:color="auto" w:fill="FFFFFF"/>
        </w:rPr>
        <w:t>第四部分、名词解释</w:t>
      </w:r>
      <w:r>
        <w:rPr>
          <w:rFonts w:hint="eastAsia" w:ascii="宋体" w:hAnsi="宋体" w:eastAsia="宋体" w:cs="宋体"/>
          <w:color w:val="000000"/>
          <w:sz w:val="24"/>
          <w:shd w:val="clear" w:color="auto" w:fill="FFFFFF"/>
        </w:rPr>
        <w:br w:type="textWrapping"/>
      </w:r>
      <w:r>
        <w:rPr>
          <w:rFonts w:hint="eastAsia" w:ascii="宋体" w:hAnsi="宋体" w:eastAsia="宋体" w:cs="宋体"/>
          <w:color w:val="000000"/>
          <w:kern w:val="0"/>
          <w:sz w:val="28"/>
          <w:szCs w:val="28"/>
          <w:lang w:val="en-US" w:eastAsia="zh-CN"/>
        </w:rPr>
        <w:t>一、财政拨款收入：指财政部门当年拨付的资金。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二、事业收入：指事业单位开展专业业务活动及辅助活动所取得的收入。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三、经营收入：指事业单位在专业业务活动及其辅助活动之外开展非独立核算经营活动取得的收入。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四、其他收入：指除上述“财政拨款收入”、“事业收入”、“经营收入”等以外的收入。</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六、年初结转和结余：指以前年度尚未完成、结转到本年 按有关规定继续使用的资金。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七、结余分配：指事业单位按规定提取的职工福利基金、事业基金和缴纳的所得税，以及建设单位按规定应交回的基本建设竣工项目结余资金。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八、年末结转和结余：指本年度或以前年度预算安排、因客观条件发生变化无法按原计划实施，需要延迟到以后年度按有关规定继续使用的资金。</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九、基本支出：指为保障机构正常运转、完成日常工作任务而发生的人员支出和公用支出。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十、项目支出：指在基本支出之外为完成特定行政任务和事业发展目标所发生的支出。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十一、经营支出：指事业单位在专业业务活动及其辅助活动之外开展非独立核算经营活动发生的支出。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color w:val="000000"/>
          <w:kern w:val="0"/>
          <w:sz w:val="28"/>
          <w:szCs w:val="28"/>
          <w:lang w:val="en-US" w:eastAsia="zh-CN"/>
        </w:rPr>
        <w:br w:type="textWrapping"/>
      </w:r>
      <w:r>
        <w:rPr>
          <w:rFonts w:hint="eastAsia" w:ascii="宋体" w:hAnsi="宋体" w:eastAsia="宋体" w:cs="宋体"/>
          <w:color w:val="000000"/>
          <w:kern w:val="0"/>
          <w:sz w:val="28"/>
          <w:szCs w:val="28"/>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6C9D59D0"/>
    <w:rsid w:val="000B5435"/>
    <w:rsid w:val="001A1ECB"/>
    <w:rsid w:val="00265DC0"/>
    <w:rsid w:val="005C2884"/>
    <w:rsid w:val="00A4182A"/>
    <w:rsid w:val="00A81316"/>
    <w:rsid w:val="00C14C18"/>
    <w:rsid w:val="00CF01D3"/>
    <w:rsid w:val="00EA1C5C"/>
    <w:rsid w:val="04852413"/>
    <w:rsid w:val="09D147C2"/>
    <w:rsid w:val="1231210B"/>
    <w:rsid w:val="1D102ADC"/>
    <w:rsid w:val="1D8E7A67"/>
    <w:rsid w:val="1FF86D1E"/>
    <w:rsid w:val="29B21ECB"/>
    <w:rsid w:val="2FDF2195"/>
    <w:rsid w:val="3F22333B"/>
    <w:rsid w:val="4E6F39BE"/>
    <w:rsid w:val="500D4431"/>
    <w:rsid w:val="663A26E3"/>
    <w:rsid w:val="6C9D59D0"/>
    <w:rsid w:val="72842DC9"/>
    <w:rsid w:val="73140045"/>
    <w:rsid w:val="76463A02"/>
    <w:rsid w:val="7E10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rPr>
      <w:rFonts w:asciiTheme="minorHAnsi" w:hAnsiTheme="minorHAnsi" w:eastAsiaTheme="minorEastAsia" w:cstheme="minorBidi"/>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3831</Words>
  <Characters>4269</Characters>
  <Lines>56</Lines>
  <Paragraphs>15</Paragraphs>
  <TotalTime>10</TotalTime>
  <ScaleCrop>false</ScaleCrop>
  <LinksUpToDate>false</LinksUpToDate>
  <CharactersWithSpaces>4448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2023-05-14T11:56:00Z</dcterms:created>
  <dc:creator>Administrator</dc:creator>
  <cp:lastModifiedBy>时间的尽头</cp:lastModifiedBy>
  <cp:lastPrinted>2023-07-24T01:27:00Z</cp:lastPrinted>
  <dcterms:modified xsi:type="dcterms:W3CDTF">2025-03-14T03:45:24Z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761B9931C106483894F49C57660062B7_13</vt:lpwstr>
  </property>
  <property fmtid="{D5CDD505-2E9C-101B-9397-08002B2CF9AE}" pid="4" name="KSOTemplateDocerSaveRecord">
    <vt:lpwstr>eyJoZGlkIjoiOTc4OTdhNTgyZmEzODBmNjY4YjAzM2FjZjRjYmE5ZDgiLCJ1c2VySWQiOiI1NTk0Mjk4NTAifQ==</vt:lpwstr>
  </property>
</Properties>
</file>