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6"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下陆区退役军人事务局2021年决算公开</w:t>
      </w:r>
    </w:p>
    <w:p>
      <w:pPr>
        <w:widowControl/>
        <w:shd w:val="clear" w:color="auto" w:fill="FFFFFF"/>
        <w:spacing w:line="424"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pPr>
        <w:widowControl/>
        <w:shd w:val="clear" w:color="auto" w:fill="FFFFFF"/>
        <w:spacing w:after="240" w:line="424" w:lineRule="atLeast"/>
        <w:jc w:val="left"/>
        <w:rPr>
          <w:rFonts w:ascii="Arial" w:hAnsi="Arial" w:eastAsia="宋体" w:cs="Arial"/>
          <w:color w:val="000000"/>
          <w:kern w:val="0"/>
          <w:szCs w:val="21"/>
        </w:rPr>
      </w:pPr>
      <w:r>
        <w:rPr>
          <w:rFonts w:ascii="Arial" w:hAnsi="Arial" w:eastAsia="宋体" w:cs="Arial"/>
          <w:color w:val="000000"/>
          <w:kern w:val="0"/>
          <w:sz w:val="33"/>
          <w:szCs w:val="33"/>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p>
    <w:p>
      <w:pPr>
        <w:keepNext w:val="0"/>
        <w:keepLines w:val="0"/>
        <w:widowControl/>
        <w:suppressLineNumbers w:val="0"/>
        <w:jc w:val="left"/>
      </w:pP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（一）贯彻落实党中央关于退役军人工作方针政策和决策部署，组织实施中省市退役军人思想政治、管理保障和安置优抚等工作政策法规，褒扬、彰显退役军人为党、国家和人民牺牲奉献的精神风范和价值导向。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（二）负责军队转业干部、复员干部、离休退休干部、退役士兵和无军籍退休退职职工的移交安置工作和自主择业、就业退役军人服务管理工作。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（三）负责退役军人教育培训工作，协调扶持退役军人和随军随调家属就业创业。</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（四）组织协调相关部门做好离休退休军人、符合条件的其他退役军人和无军籍退休退职职工的住房保障工作，以及退役军人医疗保障、社会保险等待遇保障政策落实工作。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（五）负责伤病残退役军人服务管理和抚恤工作；指导协调有关退役军人医疗、疗养、养老等机构的规划和实施工作；承担不适宜继续服役的伤病残军人相关工作；负责军供服务保障工作。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（六）负责拥军优属工作，负责现役军人、退役军人、军队文职人员和军属优待、抚恤等工作，贯彻实施国民党抗战老兵等有关人员优待政策。</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（七）负责烈士及退役军人荣誉奖励、军人公墓管理维护、纪念活动等工作，依法承担英雄烈士保护相关工作，总结表彰和宣扬退役军人、退役军人工作单位和个人先进典型事迹。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（八）指导并监督检查退役军人相关法律法规和政策措施的落实，组织开展退役军人权益维护和有关人员的帮扶援助工作。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1、机构设置情况：下陆区退役军人事务局下设退财役军人服务中心，副科级公益一类事业单位。本单位内设置办公室、综合科、财务室等内设科室。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2、编制情况：下陆区退役军人事务局核定编制数为2名，其中行政编2名，事业编制0名。2021年年末在职在编人员4人，区聘1人，退伍安置0人，退休人员0人（已全部转入机关事业单位养老保险发放养老金）。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530340"/>
            <wp:effectExtent l="0" t="0" r="1206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530340"/>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3689985"/>
            <wp:effectExtent l="0" t="0" r="1206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368998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114800"/>
            <wp:effectExtent l="0" t="0" r="1206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0085" cy="4114800"/>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752465"/>
            <wp:effectExtent l="0" t="0" r="12065" b="63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60085" cy="575246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046220"/>
            <wp:effectExtent l="0" t="0" r="12065" b="1143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0085" cy="4046220"/>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283710"/>
            <wp:effectExtent l="0" t="0" r="12065" b="254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4283710"/>
                    </a:xfrm>
                    <a:prstGeom prst="rect">
                      <a:avLst/>
                    </a:prstGeom>
                    <a:noFill/>
                    <a:ln w="9525">
                      <a:noFill/>
                    </a:ln>
                  </pic:spPr>
                </pic:pic>
              </a:graphicData>
            </a:graphic>
          </wp:inline>
        </w:drawing>
      </w:r>
    </w:p>
    <w:p>
      <w:pPr>
        <w:widowControl/>
        <w:shd w:val="clear" w:color="auto" w:fill="FFFFFF"/>
        <w:spacing w:line="424" w:lineRule="atLeast"/>
        <w:ind w:firstLine="1626" w:firstLineChars="600"/>
        <w:jc w:val="left"/>
        <w:rPr>
          <w:rFonts w:ascii="Arial" w:hAnsi="Arial" w:eastAsia="宋体" w:cs="Arial"/>
          <w:b/>
          <w:bCs/>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526540"/>
            <wp:effectExtent l="0" t="0" r="12065" b="165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526540"/>
                    </a:xfrm>
                    <a:prstGeom prst="rect">
                      <a:avLst/>
                    </a:prstGeom>
                    <a:noFill/>
                    <a:ln w="9525">
                      <a:noFill/>
                    </a:ln>
                  </pic:spPr>
                </pic:pic>
              </a:graphicData>
            </a:graphic>
          </wp:inline>
        </w:drawing>
      </w:r>
    </w:p>
    <w:p>
      <w:pPr>
        <w:widowControl/>
        <w:shd w:val="clear" w:color="auto" w:fill="FFFFFF"/>
        <w:spacing w:line="424" w:lineRule="atLeast"/>
        <w:jc w:val="left"/>
        <w:rPr>
          <w:rFonts w:ascii="Arial" w:hAnsi="Arial" w:eastAsia="宋体" w:cs="Arial"/>
          <w:b/>
          <w:bCs/>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742440"/>
            <wp:effectExtent l="0" t="0" r="12065" b="1016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60085" cy="1742440"/>
                    </a:xfrm>
                    <a:prstGeom prst="rect">
                      <a:avLst/>
                    </a:prstGeom>
                    <a:noFill/>
                    <a:ln w="9525">
                      <a:noFill/>
                    </a:ln>
                  </pic:spPr>
                </pic:pic>
              </a:graphicData>
            </a:graphic>
          </wp:inline>
        </w:drawing>
      </w:r>
    </w:p>
    <w:p>
      <w:pPr>
        <w:widowControl/>
        <w:shd w:val="clear" w:color="auto" w:fill="FFFFFF"/>
        <w:spacing w:line="424" w:lineRule="atLeast"/>
        <w:jc w:val="left"/>
        <w:rPr>
          <w:rFonts w:ascii="Arial" w:hAnsi="Arial" w:eastAsia="宋体" w:cs="Arial"/>
          <w:b/>
          <w:bCs/>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62150"/>
            <wp:effectExtent l="0" t="0" r="1206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60085" cy="1962150"/>
                    </a:xfrm>
                    <a:prstGeom prst="rect">
                      <a:avLst/>
                    </a:prstGeom>
                    <a:noFill/>
                    <a:ln w="9525">
                      <a:noFill/>
                    </a:ln>
                  </pic:spPr>
                </pic:pic>
              </a:graphicData>
            </a:graphic>
          </wp:inline>
        </w:drawing>
      </w:r>
    </w:p>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br w:type="textWrapping"/>
      </w:r>
      <w:r>
        <w:rPr>
          <w:rFonts w:ascii="Arial" w:hAnsi="Arial" w:eastAsia="宋体" w:cs="Arial"/>
          <w:b/>
          <w:bCs/>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下陆区退役军人事务局2021年度决算总收入合计478.15万元，其中：财政拨款收入468.59万元，占总收入的98%，其他收入9.56万元，占总收入的2%。</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下陆区退役军人事务局2021年度支出478.93万元，其中：基本支出133.94万元，占总支出的27.97%，项目支出344.99元，占总支出的72.03%。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决算收入合计478.15万元，与上年决算数137.32万元相比，增加340.83万元，主要原因是：今年增加义务兵优待金、伤残人员抚恤金、退役士兵安置经费。与年初预算148.33相比，增加329.82万元，主要原因是：今年增加义务兵优待金、伤残人员抚恤金、退役士兵安置经费。</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478.93万元，决算支出478.93万元与上年决算数142.98相比，增加335.95万元，主要原因是：今年增加义务兵优待金、伤残人员抚恤金、退役士兵安置经费。决算支出478.93万元与年初预算148.33相比，增加330.6万元，主要原因是：今年增加义务兵优待金、伤残人员抚恤金、退役士兵安置经费。</w:t>
      </w:r>
      <w:r>
        <w:rPr>
          <w:rFonts w:ascii="Arial" w:hAnsi="Arial" w:eastAsia="宋体" w:cs="Arial"/>
          <w:color w:val="000000"/>
          <w:kern w:val="0"/>
          <w:sz w:val="27"/>
          <w:szCs w:val="27"/>
        </w:rPr>
        <w:br w:type="textWrapping"/>
      </w:r>
      <w:r>
        <w:rPr>
          <w:rFonts w:ascii="Arial" w:hAnsi="Arial" w:eastAsia="宋体" w:cs="Arial"/>
          <w:b/>
          <w:bCs/>
          <w:color w:val="000000"/>
          <w:kern w:val="0"/>
          <w:sz w:val="27"/>
        </w:rPr>
        <w:t>三、、2021年财政拨款收入支出决算情况说明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下陆区退役军人事务局2021年财政拨款收入总计468.59万元，年初结转结余0万元，其中：一般公共预算拨款468.59万元，年初结转结余0万元；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ascii="Arial" w:hAnsi="Arial" w:eastAsia="宋体" w:cs="Arial"/>
          <w:color w:val="000000"/>
          <w:kern w:val="0"/>
          <w:sz w:val="27"/>
          <w:szCs w:val="27"/>
          <w:highlight w:val="none"/>
        </w:rPr>
        <w:t>2021年财政拨款支出总计468.59万元，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148.33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相比增加320.26万元，原因是今年有省级退役转移支付资金，与上年决算数135.58万元相比增加333.01万元，原因是今年增加</w:t>
      </w:r>
      <w:r>
        <w:rPr>
          <w:rFonts w:ascii="Arial" w:hAnsi="Arial" w:eastAsia="宋体" w:cs="Arial"/>
          <w:color w:val="000000"/>
          <w:kern w:val="0"/>
          <w:sz w:val="27"/>
          <w:szCs w:val="27"/>
          <w:highlight w:val="none"/>
        </w:rPr>
        <w:t>增加义务兵优待金、伤残人员抚恤金、退役士兵安置经费</w:t>
      </w:r>
      <w:r>
        <w:rPr>
          <w:rFonts w:hint="eastAsia" w:ascii="Arial" w:hAnsi="Arial" w:eastAsia="宋体" w:cs="Arial"/>
          <w:color w:val="000000"/>
          <w:kern w:val="0"/>
          <w:sz w:val="27"/>
          <w:szCs w:val="27"/>
          <w:highlight w:val="none"/>
          <w:lang w:eastAsia="zh-CN"/>
        </w:rPr>
        <w:t>等</w:t>
      </w:r>
      <w:r>
        <w:rPr>
          <w:rFonts w:hint="eastAsia" w:ascii="宋体" w:hAnsi="宋体" w:eastAsia="宋体" w:cs="宋体"/>
          <w:color w:val="000000"/>
          <w:kern w:val="0"/>
          <w:sz w:val="28"/>
          <w:szCs w:val="28"/>
          <w:highlight w:val="none"/>
          <w:lang w:val="en-US" w:eastAsia="zh-CN"/>
        </w:rPr>
        <w:t>省级退役转移支付资金。</w:t>
      </w:r>
      <w:r>
        <w:rPr>
          <w:rFonts w:ascii="Arial" w:hAnsi="Arial" w:eastAsia="宋体" w:cs="Arial"/>
          <w:color w:val="000000"/>
          <w:kern w:val="0"/>
          <w:sz w:val="27"/>
          <w:szCs w:val="27"/>
          <w:highlight w:val="none"/>
        </w:rPr>
        <w:t>按支出性质分类：基本支出123.6万元，项目支出344.99万元。年末财政拨款结转和结余0万元。其中：一般公共预算拨款468.59万元，年末财政拨款结转和结余0万元。</w:t>
      </w:r>
      <w:r>
        <w:rPr>
          <w:rFonts w:ascii="Arial" w:hAnsi="Arial" w:eastAsia="宋体" w:cs="Arial"/>
          <w:color w:val="000000"/>
          <w:kern w:val="0"/>
          <w:sz w:val="27"/>
          <w:szCs w:val="27"/>
          <w:highlight w:val="none"/>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下陆区退役军人事务局2021年一般公共预算财政拨款支出决算数468.59万元，与年初预算数为148.33万元相比增加320.26万元，其中：一般公共预算财政拨款增加320.26万元。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按</w:t>
      </w:r>
      <w:r>
        <w:rPr>
          <w:rFonts w:ascii="Arial" w:hAnsi="Arial" w:eastAsia="宋体" w:cs="Arial"/>
          <w:color w:val="000000"/>
          <w:kern w:val="0"/>
          <w:sz w:val="27"/>
          <w:szCs w:val="27"/>
        </w:rPr>
        <w:t>支出功能分类，社会保障和就业支出467.84万元，较上年支出增加335.38万元，增幅281.63%；卫生健康支出0.74万元，较上年增加0.74万元，增幅100%。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一般公共预算财政拨款基本支出123.6万元，较上年增加1.01万元，增幅0.82%。其中，人员经费支出117.05万元，较上年增加9.5万元，增幅8.83%。人员经费主要包括：基本工资、津贴补贴、奖金、社会保险缴费、离退休费、医疗费、住房公积金、职业年金、机关事业单位养老保险等支出。日常公用经费支出5.59万元，较上年下降9.45万元，降幅62.83%。日常公用经费主要包括：办公费、印刷费、水费、电费、邮电费、物业管理费、差旅费、维修（护）费、租赁费、会议费、培训费、公务接待费、劳务费、工会经费、福利费、其他交通费、其他商品和服务支出等。资本性支出0.96万元，较上年增加0.96万元，增幅100%。主要用于办公设备的购置。</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2021年度“三公”经费支出决算数为0万元，与2020年支出决算数0万元</w:t>
      </w:r>
      <w:r>
        <w:rPr>
          <w:rFonts w:hint="eastAsia" w:ascii="Arial" w:hAnsi="Arial" w:eastAsia="宋体" w:cs="Arial"/>
          <w:color w:val="000000"/>
          <w:kern w:val="0"/>
          <w:sz w:val="27"/>
          <w:szCs w:val="27"/>
          <w:lang w:eastAsia="zh-CN"/>
        </w:rPr>
        <w:t>相比</w:t>
      </w:r>
      <w:r>
        <w:rPr>
          <w:rFonts w:ascii="Arial" w:hAnsi="Arial" w:eastAsia="宋体" w:cs="Arial"/>
          <w:color w:val="000000"/>
          <w:kern w:val="0"/>
          <w:sz w:val="27"/>
          <w:szCs w:val="27"/>
        </w:rPr>
        <w:t>持平。</w:t>
      </w:r>
      <w:r>
        <w:rPr>
          <w:rFonts w:hint="eastAsia" w:ascii="Arial" w:hAnsi="Arial" w:eastAsia="宋体" w:cs="Arial"/>
          <w:color w:val="000000"/>
          <w:kern w:val="0"/>
          <w:sz w:val="27"/>
          <w:szCs w:val="27"/>
          <w:lang w:eastAsia="zh-CN"/>
        </w:rPr>
        <w:t>原因是</w:t>
      </w:r>
      <w:r>
        <w:rPr>
          <w:rFonts w:ascii="Arial" w:hAnsi="Arial" w:eastAsia="宋体" w:cs="Arial"/>
          <w:color w:val="000000"/>
          <w:kern w:val="0"/>
          <w:sz w:val="27"/>
          <w:szCs w:val="27"/>
        </w:rPr>
        <w:t>严格执行相关规定，</w:t>
      </w:r>
      <w:r>
        <w:rPr>
          <w:rFonts w:hint="eastAsia" w:ascii="Arial" w:hAnsi="Arial" w:eastAsia="宋体" w:cs="Arial"/>
          <w:color w:val="000000"/>
          <w:kern w:val="0"/>
          <w:sz w:val="27"/>
          <w:szCs w:val="27"/>
          <w:lang w:eastAsia="zh-CN"/>
        </w:rPr>
        <w:t>控制</w:t>
      </w:r>
      <w:r>
        <w:rPr>
          <w:rFonts w:ascii="Arial" w:hAnsi="Arial" w:eastAsia="宋体" w:cs="Arial"/>
          <w:color w:val="000000"/>
          <w:kern w:val="0"/>
          <w:sz w:val="27"/>
          <w:szCs w:val="27"/>
        </w:rPr>
        <w:t>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与2021年预算0.48万元相比，减少0.48万元。下降100%。是单位严格执行相关规定，节约费用开支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Arial" w:hAnsi="Arial" w:eastAsia="宋体" w:cs="Arial"/>
          <w:color w:val="000000"/>
          <w:kern w:val="0"/>
          <w:sz w:val="27"/>
          <w:szCs w:val="27"/>
          <w:lang w:val="en-US" w:eastAsia="zh-CN"/>
        </w:rPr>
        <w:t>因公出国（境）费用支出决算为0万元，</w:t>
      </w:r>
      <w:r>
        <w:rPr>
          <w:rFonts w:hint="eastAsia" w:ascii="Arial" w:hAnsi="Arial" w:eastAsia="宋体" w:cs="Arial"/>
          <w:color w:val="000000"/>
          <w:kern w:val="0"/>
          <w:sz w:val="27"/>
          <w:szCs w:val="27"/>
          <w:lang w:val="en-US" w:eastAsia="zh-CN"/>
        </w:rPr>
        <w:t>,团组数为0组，人数为0人</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w:t>
      </w:r>
      <w:r>
        <w:rPr>
          <w:rFonts w:hint="eastAsia" w:ascii="Arial" w:hAnsi="Arial" w:eastAsia="宋体" w:cs="Arial"/>
          <w:color w:val="000000"/>
          <w:kern w:val="0"/>
          <w:sz w:val="27"/>
          <w:szCs w:val="27"/>
          <w:lang w:val="en-US" w:eastAsia="zh-CN"/>
        </w:rPr>
        <w:t>持平，原因是我单位无</w:t>
      </w:r>
      <w:r>
        <w:rPr>
          <w:rFonts w:hint="default" w:ascii="Arial" w:hAnsi="Arial" w:eastAsia="宋体" w:cs="Arial"/>
          <w:color w:val="000000"/>
          <w:kern w:val="0"/>
          <w:sz w:val="27"/>
          <w:szCs w:val="27"/>
          <w:lang w:val="en-US" w:eastAsia="zh-CN"/>
        </w:rPr>
        <w:t>因公出国（境）费用支出。与2021年预算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原因是我单位无</w:t>
      </w:r>
      <w:r>
        <w:rPr>
          <w:rFonts w:hint="default" w:ascii="Arial" w:hAnsi="Arial" w:eastAsia="宋体" w:cs="Arial"/>
          <w:color w:val="000000"/>
          <w:kern w:val="0"/>
          <w:sz w:val="27"/>
          <w:szCs w:val="27"/>
          <w:lang w:val="en-US" w:eastAsia="zh-CN"/>
        </w:rPr>
        <w:t>因公出国（境）费用支出</w:t>
      </w:r>
      <w:r>
        <w:rPr>
          <w:rFonts w:hint="eastAsia" w:ascii="Arial" w:hAnsi="Arial" w:eastAsia="宋体" w:cs="Arial"/>
          <w:color w:val="000000"/>
          <w:kern w:val="0"/>
          <w:sz w:val="27"/>
          <w:szCs w:val="27"/>
          <w:lang w:val="en-US"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w:t>
      </w:r>
      <w:r>
        <w:rPr>
          <w:rFonts w:hint="default" w:ascii="Arial" w:hAnsi="Arial" w:eastAsia="宋体" w:cs="Arial"/>
          <w:color w:val="000000"/>
          <w:kern w:val="0"/>
          <w:sz w:val="27"/>
          <w:szCs w:val="27"/>
          <w:lang w:val="en-US" w:eastAsia="zh-CN"/>
        </w:rPr>
        <w:t>2021年公务用车购置及运行维护费支出决算数为</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持平，原因是单位公车改革后无公务用车。</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原因是单位公车改革后无公务用车。</w:t>
      </w:r>
      <w:r>
        <w:rPr>
          <w:rFonts w:hint="default" w:ascii="Arial" w:hAnsi="Arial" w:eastAsia="宋体" w:cs="Arial"/>
          <w:color w:val="000000"/>
          <w:kern w:val="0"/>
          <w:sz w:val="27"/>
          <w:szCs w:val="27"/>
          <w:lang w:val="en-US" w:eastAsia="zh-CN"/>
        </w:rPr>
        <w:t>其中：</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（1）我单位</w:t>
      </w:r>
      <w:r>
        <w:rPr>
          <w:rFonts w:hint="default" w:ascii="Arial" w:hAnsi="Arial" w:eastAsia="宋体" w:cs="Arial"/>
          <w:color w:val="000000"/>
          <w:kern w:val="0"/>
          <w:sz w:val="27"/>
          <w:szCs w:val="27"/>
          <w:lang w:val="en-US" w:eastAsia="zh-CN"/>
        </w:rPr>
        <w:t>公务用车购置费为0万元，车型为：无 ，本年度公务用车购置数0辆</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公务用车保有量为</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台</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持平，原因是我单位未购置车辆</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原因是我单位未购置车辆</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（2）</w:t>
      </w:r>
      <w:r>
        <w:rPr>
          <w:rFonts w:hint="default" w:ascii="Arial" w:hAnsi="Arial" w:eastAsia="宋体" w:cs="Arial"/>
          <w:color w:val="000000"/>
          <w:kern w:val="0"/>
          <w:sz w:val="27"/>
          <w:szCs w:val="27"/>
          <w:lang w:val="en-US" w:eastAsia="zh-CN"/>
        </w:rPr>
        <w:t>公务用车运行维护费</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万元，与2020年支出决算数</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w:t>
      </w:r>
      <w:r>
        <w:rPr>
          <w:rFonts w:hint="eastAsia" w:ascii="Arial" w:hAnsi="Arial" w:eastAsia="宋体" w:cs="Arial"/>
          <w:color w:val="000000"/>
          <w:kern w:val="0"/>
          <w:sz w:val="27"/>
          <w:szCs w:val="27"/>
          <w:lang w:val="en-US" w:eastAsia="zh-CN"/>
        </w:rPr>
        <w:t>相比持平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原因是单位公车改革后无公务用车。与2021年预算数0万元相比持平,原因</w:t>
      </w:r>
      <w:r>
        <w:rPr>
          <w:rFonts w:hint="default" w:ascii="Arial" w:hAnsi="Arial" w:eastAsia="宋体" w:cs="Arial"/>
          <w:color w:val="000000"/>
          <w:kern w:val="0"/>
          <w:sz w:val="27"/>
          <w:szCs w:val="27"/>
          <w:lang w:val="en-US" w:eastAsia="zh-CN"/>
        </w:rPr>
        <w:t>是</w:t>
      </w:r>
      <w:r>
        <w:rPr>
          <w:rFonts w:hint="eastAsia" w:ascii="Arial" w:hAnsi="Arial" w:eastAsia="宋体" w:cs="Arial"/>
          <w:color w:val="000000"/>
          <w:kern w:val="0"/>
          <w:sz w:val="27"/>
          <w:szCs w:val="27"/>
          <w:lang w:val="en-US" w:eastAsia="zh-CN"/>
        </w:rPr>
        <w:t>单位公车改革后无公务用车。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3、公务接待支出决算数为0万元</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共招待0批次0人，</w:t>
      </w:r>
      <w:r>
        <w:rPr>
          <w:rFonts w:hint="eastAsia" w:ascii="Arial" w:hAnsi="Arial" w:eastAsia="宋体" w:cs="Arial"/>
          <w:color w:val="000000"/>
          <w:kern w:val="0"/>
          <w:sz w:val="27"/>
          <w:szCs w:val="27"/>
          <w:lang w:eastAsia="zh-CN"/>
        </w:rPr>
        <w:t>与</w:t>
      </w:r>
      <w:r>
        <w:rPr>
          <w:rFonts w:ascii="Arial" w:hAnsi="Arial" w:eastAsia="宋体" w:cs="Arial"/>
          <w:color w:val="000000"/>
          <w:kern w:val="0"/>
          <w:sz w:val="27"/>
          <w:szCs w:val="27"/>
        </w:rPr>
        <w:t>2021年预算数</w:t>
      </w:r>
      <w:r>
        <w:rPr>
          <w:rFonts w:hint="eastAsia" w:ascii="Arial" w:hAnsi="Arial" w:eastAsia="宋体" w:cs="Arial"/>
          <w:color w:val="000000"/>
          <w:kern w:val="0"/>
          <w:sz w:val="27"/>
          <w:szCs w:val="27"/>
          <w:lang w:val="en-US" w:eastAsia="zh-CN"/>
        </w:rPr>
        <w:t>0.48万元相比</w:t>
      </w:r>
      <w:r>
        <w:rPr>
          <w:rFonts w:ascii="Arial" w:hAnsi="Arial" w:eastAsia="宋体" w:cs="Arial"/>
          <w:color w:val="000000"/>
          <w:kern w:val="0"/>
          <w:sz w:val="27"/>
          <w:szCs w:val="27"/>
        </w:rPr>
        <w:t>减少0.48万元，</w:t>
      </w:r>
      <w:r>
        <w:rPr>
          <w:rFonts w:hint="eastAsia" w:ascii="Arial" w:hAnsi="Arial" w:eastAsia="宋体" w:cs="Arial"/>
          <w:color w:val="000000"/>
          <w:kern w:val="0"/>
          <w:sz w:val="27"/>
          <w:szCs w:val="27"/>
          <w:lang w:eastAsia="zh-CN"/>
        </w:rPr>
        <w:t>原因是</w:t>
      </w:r>
      <w:r>
        <w:rPr>
          <w:rFonts w:ascii="Arial" w:hAnsi="Arial" w:eastAsia="宋体" w:cs="Arial"/>
          <w:color w:val="000000"/>
          <w:kern w:val="0"/>
          <w:sz w:val="27"/>
          <w:szCs w:val="27"/>
        </w:rPr>
        <w:t>单位严格执行相关规定，节约费用开支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与2020年支出决算数持平。</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是单位严格执行相关规定，节约费用开支。</w:t>
      </w:r>
      <w:r>
        <w:rPr>
          <w:rFonts w:ascii="Arial" w:hAnsi="Arial" w:eastAsia="宋体" w:cs="Arial"/>
          <w:color w:val="000000"/>
          <w:kern w:val="0"/>
          <w:sz w:val="27"/>
          <w:szCs w:val="27"/>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2021年度机关运行经费决算6.55万元，较年初预算数8.11万元减少1.56万元，减少的原因是</w:t>
      </w:r>
      <w:r>
        <w:rPr>
          <w:rFonts w:ascii="Arial" w:hAnsi="Arial" w:eastAsia="宋体" w:cs="Arial"/>
          <w:color w:val="000000"/>
          <w:kern w:val="0"/>
          <w:sz w:val="27"/>
          <w:szCs w:val="27"/>
        </w:rPr>
        <w:t>将公务交通补贴纳入人员经费</w:t>
      </w:r>
      <w:r>
        <w:rPr>
          <w:rFonts w:hint="eastAsia" w:ascii="Arial" w:hAnsi="Arial" w:eastAsia="宋体" w:cs="Arial"/>
          <w:color w:val="000000"/>
          <w:kern w:val="0"/>
          <w:sz w:val="27"/>
          <w:szCs w:val="27"/>
        </w:rPr>
        <w:t>。较2020年决算数15.04万元减少了8.49万元，</w:t>
      </w:r>
      <w:r>
        <w:rPr>
          <w:rFonts w:hint="eastAsia" w:ascii="Arial" w:hAnsi="Arial" w:eastAsia="宋体" w:cs="Arial"/>
          <w:color w:val="000000"/>
          <w:kern w:val="0"/>
          <w:sz w:val="27"/>
          <w:szCs w:val="27"/>
          <w:lang w:eastAsia="zh-CN"/>
        </w:rPr>
        <w:t>降幅</w:t>
      </w:r>
      <w:r>
        <w:rPr>
          <w:rFonts w:hint="eastAsia" w:ascii="Arial" w:hAnsi="Arial" w:eastAsia="宋体" w:cs="Arial"/>
          <w:color w:val="000000"/>
          <w:kern w:val="0"/>
          <w:sz w:val="27"/>
          <w:szCs w:val="27"/>
          <w:lang w:val="en-US" w:eastAsia="zh-CN"/>
        </w:rPr>
        <w:t>56.45%。</w:t>
      </w:r>
      <w:r>
        <w:rPr>
          <w:rFonts w:hint="eastAsia" w:ascii="Arial" w:hAnsi="Arial" w:eastAsia="宋体" w:cs="Arial"/>
          <w:color w:val="000000"/>
          <w:kern w:val="0"/>
          <w:sz w:val="27"/>
          <w:szCs w:val="27"/>
        </w:rPr>
        <w:t>减少的原因是</w:t>
      </w:r>
      <w:r>
        <w:rPr>
          <w:rFonts w:hint="eastAsia" w:ascii="Arial" w:hAnsi="Arial" w:eastAsia="宋体" w:cs="Arial"/>
          <w:color w:val="000000"/>
          <w:kern w:val="0"/>
          <w:sz w:val="27"/>
          <w:szCs w:val="27"/>
          <w:lang w:eastAsia="zh-CN"/>
        </w:rPr>
        <w:t>去年有拥军优属经费</w:t>
      </w:r>
      <w:r>
        <w:rPr>
          <w:rFonts w:hint="eastAsia" w:ascii="Arial" w:hAnsi="Arial" w:eastAsia="宋体" w:cs="Arial"/>
          <w:color w:val="000000"/>
          <w:kern w:val="0"/>
          <w:sz w:val="27"/>
          <w:szCs w:val="27"/>
        </w:rPr>
        <w:t>开支。机关运行经费主要用于办公</w:t>
      </w:r>
      <w:r>
        <w:rPr>
          <w:rFonts w:ascii="Arial" w:hAnsi="Arial" w:eastAsia="宋体" w:cs="Arial"/>
          <w:color w:val="000000"/>
          <w:kern w:val="0"/>
          <w:sz w:val="27"/>
          <w:szCs w:val="27"/>
        </w:rPr>
        <w:t>费0.93万元、电费0.35万元、邮电费0.22万元，差旅费0.39万元、日常维修费0.74万元、劳务费0.65万元、委托业务费0.44万元、工会经费1.75万元、其他商品有服务支出0.1万元。办公设备购置费0.96万元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八、政府采购执行情况说明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2021年度我单位政府采购预算计划金额1.73万元，其中一般公共预算1.73万元，其他资金0万元；主要用于购买货物1.73万元，工程0万元，服务0万元。授予中小企业合同金额 1.73万元，占政府采购支出总额的 100%，其中：授予小微企业合同金额1.73万元，占政府采购支出总额的 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2021年度我单位政府实际采购金额3.59万元，其中一般公共预算3.59万元，其他资金0万元；主要用于购买货物3.59万元，工程0万元，服务0万元。授予中小企业合同金额 0万元，占政府采购支出总额的 0%，其中：授予小微企业合同金额0万元，占政府采购支出总额的 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政府采购支出总额比2020年度2.1万元增加1.49万元，涨幅70.95%，主要原因是今年印制宣传品一批。</w:t>
      </w:r>
      <w:r>
        <w:rPr>
          <w:rFonts w:ascii="Arial" w:hAnsi="Arial" w:eastAsia="宋体" w:cs="Arial"/>
          <w:color w:val="000000"/>
          <w:kern w:val="0"/>
          <w:szCs w:val="21"/>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Cs w:val="21"/>
        </w:rPr>
        <w:br w:type="textWrapping"/>
      </w:r>
      <w:r>
        <w:rPr>
          <w:rFonts w:hint="eastAsia" w:ascii="Arial" w:hAnsi="Arial" w:eastAsia="宋体" w:cs="Arial"/>
          <w:color w:val="000000"/>
          <w:kern w:val="0"/>
          <w:szCs w:val="21"/>
          <w:lang w:val="en-US" w:eastAsia="zh-CN"/>
        </w:rPr>
        <w:t xml:space="preserve">     </w:t>
      </w:r>
      <w:r>
        <w:rPr>
          <w:rFonts w:ascii="Arial" w:hAnsi="Arial" w:eastAsia="宋体" w:cs="Arial"/>
          <w:color w:val="000000"/>
          <w:kern w:val="0"/>
          <w:sz w:val="27"/>
          <w:szCs w:val="27"/>
        </w:rPr>
        <w:t>2021年度我单位共占有车辆数0台，其中：一般公务用车0台，一般执法执勤车辆0台；单价50万元以上通用设备0台；单价100万元以上专用设备0台。其他固定资产（不包含房屋）13.35元。</w:t>
      </w:r>
      <w:r>
        <w:rPr>
          <w:rFonts w:ascii="Arial" w:hAnsi="Arial" w:eastAsia="宋体" w:cs="Arial"/>
          <w:color w:val="000000"/>
          <w:kern w:val="0"/>
          <w:szCs w:val="21"/>
        </w:rPr>
        <w:br w:type="textWrapping"/>
      </w:r>
      <w:r>
        <w:rPr>
          <w:rFonts w:ascii="Arial" w:hAnsi="Arial" w:eastAsia="宋体" w:cs="Arial"/>
          <w:b/>
          <w:bCs/>
          <w:color w:val="000000"/>
          <w:kern w:val="0"/>
          <w:sz w:val="27"/>
        </w:rPr>
        <w:t>十、其他情况</w:t>
      </w:r>
      <w:r>
        <w:rPr>
          <w:rFonts w:ascii="Arial" w:hAnsi="Arial" w:eastAsia="宋体" w:cs="Arial"/>
          <w:color w:val="000000"/>
          <w:kern w:val="0"/>
          <w:szCs w:val="21"/>
        </w:rPr>
        <w:br w:type="textWrapping"/>
      </w:r>
      <w:r>
        <w:rPr>
          <w:rFonts w:hint="eastAsia" w:ascii="Arial" w:hAnsi="Arial" w:eastAsia="宋体" w:cs="Arial"/>
          <w:color w:val="000000"/>
          <w:kern w:val="0"/>
          <w:szCs w:val="21"/>
          <w:lang w:val="en-US" w:eastAsia="zh-CN"/>
        </w:rPr>
        <w:t xml:space="preserve">    </w:t>
      </w:r>
      <w:r>
        <w:rPr>
          <w:rFonts w:ascii="Arial" w:hAnsi="Arial" w:eastAsia="宋体" w:cs="Arial"/>
          <w:color w:val="000000"/>
          <w:kern w:val="0"/>
          <w:sz w:val="27"/>
          <w:szCs w:val="27"/>
        </w:rPr>
        <w:t>我单位2021年无举借政府债务</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、无扶贫专项资金</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、无政府性基金预算收支</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、无财政专项支出</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、无专项转移支付</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b/>
          <w:bCs/>
          <w:color w:val="000000"/>
          <w:kern w:val="0"/>
          <w:sz w:val="27"/>
        </w:rPr>
        <w:t>十一、预算绩效工作开展情况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（一）</w:t>
      </w:r>
      <w:r>
        <w:rPr>
          <w:rFonts w:ascii="Arial" w:hAnsi="Arial" w:eastAsia="宋体" w:cs="Arial"/>
          <w:b/>
          <w:bCs/>
          <w:color w:val="000000"/>
          <w:kern w:val="0"/>
          <w:sz w:val="27"/>
        </w:rPr>
        <w:t>预算绩效管理工作开展情况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根据预算绩效管理要求，我单位组织对2021年度一般公共预算项目支出全面开展绩效自评，共涉及项目3个，资金38万元（其中：一般公共预算拨款38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Cs w:val="21"/>
        </w:rPr>
        <w:br w:type="textWrapping"/>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075" w:type="dxa"/>
        <w:tblInd w:w="0" w:type="dxa"/>
        <w:shd w:val="clear" w:color="auto" w:fill="auto"/>
        <w:tblLayout w:type="autofit"/>
        <w:tblCellMar>
          <w:top w:w="0" w:type="dxa"/>
          <w:left w:w="0" w:type="dxa"/>
          <w:bottom w:w="0" w:type="dxa"/>
          <w:right w:w="0" w:type="dxa"/>
        </w:tblCellMar>
      </w:tblPr>
      <w:tblGrid>
        <w:gridCol w:w="644"/>
        <w:gridCol w:w="629"/>
        <w:gridCol w:w="659"/>
        <w:gridCol w:w="405"/>
        <w:gridCol w:w="2232"/>
        <w:gridCol w:w="2306"/>
        <w:gridCol w:w="794"/>
        <w:gridCol w:w="731"/>
        <w:gridCol w:w="675"/>
      </w:tblGrid>
      <w:tr>
        <w:tblPrEx>
          <w:shd w:val="clear" w:color="auto" w:fill="auto"/>
          <w:tblCellMar>
            <w:top w:w="0" w:type="dxa"/>
            <w:left w:w="0" w:type="dxa"/>
            <w:bottom w:w="0" w:type="dxa"/>
            <w:right w:w="0" w:type="dxa"/>
          </w:tblCellMar>
        </w:tblPrEx>
        <w:trPr>
          <w:trHeight w:val="559" w:hRule="atLeast"/>
        </w:trPr>
        <w:tc>
          <w:tcPr>
            <w:tcW w:w="9075"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tblPrEx>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6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黄石市下陆区退役军人事务管理局</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129.99</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w:t>
            </w:r>
          </w:p>
        </w:tc>
      </w:tr>
      <w:tr>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142.98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133.46</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107.13%</w:t>
            </w: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一级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二级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分值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指标说明</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评分标准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年初目标值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实际完成值</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33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3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4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2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45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1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10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2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499" w:hRule="atLeast"/>
        </w:trPr>
        <w:tc>
          <w:tcPr>
            <w:tcW w:w="688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r>
    </w:tbl>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Cs w:val="21"/>
        </w:rPr>
        <w:br w:type="textWrapping"/>
      </w:r>
      <w:r>
        <w:rPr>
          <w:rFonts w:ascii="Arial" w:hAnsi="Arial" w:eastAsia="宋体" w:cs="Arial"/>
          <w:b/>
          <w:bCs/>
          <w:color w:val="000000"/>
          <w:kern w:val="0"/>
          <w:sz w:val="27"/>
        </w:rPr>
        <w:t>1.退役军人服务中心工作项目经费绩效自评：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项目全年预算数为10万元，其中：一般公共预算财政拨款10万元。执行数为9.96万元，完成预算99.6%。</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主要产出和效益：1、建立退役军人服务台账，登记率95%.2、就业创业率80%.3、权益维护率、政策落实率、法律援助率100%.4、服务对象满意率95%.。</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发现的问题及原因：因疫情原因，部分业务未完成。2022年将根据疫情发展情况，采取更加灵活的方式，为退役军人提供各类服务。</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退役军人服务中心工作项目经费绩效自评</w:t>
      </w:r>
      <w:r>
        <w:rPr>
          <w:rFonts w:hint="eastAsia" w:ascii="Arial" w:hAnsi="Arial" w:eastAsia="宋体" w:cs="Arial"/>
          <w:b/>
          <w:bCs/>
          <w:color w:val="000000"/>
          <w:kern w:val="0"/>
          <w:sz w:val="27"/>
          <w:lang w:eastAsia="zh-CN"/>
        </w:rPr>
        <w:t>表</w:t>
      </w:r>
      <w:bookmarkStart w:id="0" w:name="_GoBack"/>
      <w:bookmarkEnd w:id="0"/>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557"/>
        <w:gridCol w:w="761"/>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hint="default" w:ascii="Arial" w:eastAsia="宋体"/>
                <w:sz w:val="21"/>
                <w:lang w:val="en-US" w:eastAsia="zh-CN"/>
              </w:rPr>
            </w:pPr>
            <w:r>
              <w:rPr>
                <w:rFonts w:hint="eastAsia" w:ascii="Arial"/>
                <w:sz w:val="21"/>
                <w:lang w:val="en-US" w:eastAsia="zh-CN"/>
              </w:rPr>
              <w:t xml:space="preserve">  下陆区退役军人服务中心经费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下陆区退役军人事务局</w:t>
            </w:r>
          </w:p>
        </w:tc>
        <w:tc>
          <w:tcPr>
            <w:tcW w:w="2384"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645" w:type="dxa"/>
            <w:gridSpan w:val="2"/>
            <w:noWrap w:val="0"/>
            <w:vAlign w:val="top"/>
          </w:tcPr>
          <w:p>
            <w:pPr>
              <w:rPr>
                <w:rFonts w:ascii="Arial"/>
                <w:sz w:val="21"/>
              </w:rPr>
            </w:pPr>
            <w:r>
              <w:rPr>
                <w:rFonts w:hint="eastAsia" w:ascii="Arial"/>
                <w:sz w:val="21"/>
                <w:lang w:eastAsia="zh-CN"/>
              </w:rPr>
              <w:t>下陆区退役军人事务局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ind w:firstLine="420" w:firstLineChars="200"/>
              <w:rPr>
                <w:rFonts w:hint="default" w:ascii="Arial" w:eastAsia="宋体"/>
                <w:sz w:val="21"/>
                <w:lang w:val="en-US" w:eastAsia="zh-CN"/>
              </w:rPr>
            </w:pPr>
            <w:r>
              <w:rPr>
                <w:rFonts w:hint="eastAsia" w:ascii="Arial"/>
                <w:sz w:val="21"/>
                <w:lang w:val="en-US" w:eastAsia="zh-CN"/>
              </w:rPr>
              <w:t>10</w:t>
            </w:r>
          </w:p>
        </w:tc>
        <w:tc>
          <w:tcPr>
            <w:tcW w:w="1318" w:type="dxa"/>
            <w:gridSpan w:val="2"/>
            <w:noWrap w:val="0"/>
            <w:vAlign w:val="top"/>
          </w:tcPr>
          <w:p>
            <w:pPr>
              <w:ind w:firstLine="420" w:firstLineChars="200"/>
              <w:rPr>
                <w:rFonts w:hint="default" w:ascii="Arial" w:eastAsia="宋体"/>
                <w:sz w:val="21"/>
                <w:lang w:val="en-US" w:eastAsia="zh-CN"/>
              </w:rPr>
            </w:pPr>
            <w:r>
              <w:rPr>
                <w:rFonts w:hint="eastAsia" w:ascii="Arial"/>
                <w:sz w:val="21"/>
                <w:lang w:val="en-US" w:eastAsia="zh-CN"/>
              </w:rPr>
              <w:t>9.96</w:t>
            </w:r>
          </w:p>
        </w:tc>
        <w:tc>
          <w:tcPr>
            <w:tcW w:w="1458" w:type="dxa"/>
            <w:noWrap w:val="0"/>
            <w:vAlign w:val="top"/>
          </w:tcPr>
          <w:p>
            <w:pPr>
              <w:ind w:firstLine="420" w:firstLineChars="200"/>
              <w:rPr>
                <w:rFonts w:hint="default" w:ascii="Arial" w:eastAsia="宋体"/>
                <w:sz w:val="21"/>
                <w:lang w:val="en-US" w:eastAsia="zh-CN"/>
              </w:rPr>
            </w:pPr>
            <w:r>
              <w:rPr>
                <w:rFonts w:hint="eastAsia" w:ascii="Arial"/>
                <w:sz w:val="21"/>
                <w:lang w:val="en-US" w:eastAsia="zh-CN"/>
              </w:rPr>
              <w:t>99.6%</w:t>
            </w:r>
          </w:p>
        </w:tc>
        <w:tc>
          <w:tcPr>
            <w:tcW w:w="2202" w:type="dxa"/>
            <w:gridSpan w:val="3"/>
            <w:noWrap w:val="0"/>
            <w:vAlign w:val="top"/>
          </w:tcPr>
          <w:p>
            <w:pPr>
              <w:ind w:firstLine="1050" w:firstLineChars="500"/>
              <w:rPr>
                <w:rFonts w:hint="default" w:ascii="Arial" w:eastAsia="宋体"/>
                <w:sz w:val="21"/>
                <w:lang w:val="en-US" w:eastAsia="zh-CN"/>
              </w:rPr>
            </w:pPr>
            <w:r>
              <w:rPr>
                <w:rFonts w:hint="eastAsia" w:ascii="Arial"/>
                <w:sz w:val="21"/>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spacing w:before="244" w:line="219" w:lineRule="auto"/>
              <w:rPr>
                <w:rFonts w:hint="eastAsia" w:ascii="Arial" w:eastAsia="宋体"/>
                <w:sz w:val="21"/>
                <w:lang w:eastAsia="zh-CN"/>
              </w:rPr>
            </w:pPr>
            <w:r>
              <w:rPr>
                <w:rFonts w:ascii="宋体" w:hAnsi="宋体" w:eastAsia="宋体" w:cs="宋体"/>
                <w:spacing w:val="-2"/>
                <w:sz w:val="21"/>
                <w:szCs w:val="21"/>
              </w:rPr>
              <w:t>数量指标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开展退役军人线下招聘次数</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2次</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2次</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pPr>
              <w:rPr>
                <w:rFonts w:hint="eastAsia" w:ascii="Arial" w:eastAsia="宋体"/>
                <w:kern w:val="2"/>
                <w:sz w:val="21"/>
                <w:lang w:val="en-US" w:eastAsia="zh-CN" w:bidi="ar-SA"/>
              </w:rPr>
            </w:pPr>
            <w:r>
              <w:rPr>
                <w:rFonts w:hint="eastAsia" w:ascii="Arial"/>
                <w:sz w:val="21"/>
                <w:lang w:eastAsia="zh-CN"/>
              </w:rPr>
              <w:t>建立退役军人服务台账</w:t>
            </w:r>
          </w:p>
        </w:tc>
        <w:tc>
          <w:tcPr>
            <w:tcW w:w="1458" w:type="dxa"/>
            <w:noWrap w:val="0"/>
            <w:vAlign w:val="top"/>
          </w:tcPr>
          <w:p>
            <w:pPr>
              <w:rPr>
                <w:rFonts w:hint="default" w:ascii="Arial" w:eastAsia="宋体"/>
                <w:kern w:val="2"/>
                <w:sz w:val="21"/>
                <w:lang w:val="en-US" w:eastAsia="zh-CN" w:bidi="ar-SA"/>
              </w:rPr>
            </w:pPr>
            <w:r>
              <w:rPr>
                <w:rFonts w:hint="eastAsia" w:ascii="Arial"/>
                <w:sz w:val="21"/>
                <w:lang w:eastAsia="zh-CN"/>
              </w:rPr>
              <w:t>登记</w:t>
            </w:r>
            <w:r>
              <w:rPr>
                <w:rFonts w:hint="eastAsia" w:ascii="Arial"/>
                <w:sz w:val="21"/>
                <w:lang w:val="en-US" w:eastAsia="zh-CN"/>
              </w:rPr>
              <w:t>95%以上</w:t>
            </w:r>
          </w:p>
        </w:tc>
        <w:tc>
          <w:tcPr>
            <w:tcW w:w="1318" w:type="dxa"/>
            <w:gridSpan w:val="2"/>
            <w:noWrap w:val="0"/>
            <w:vAlign w:val="top"/>
          </w:tcPr>
          <w:p>
            <w:pPr>
              <w:rPr>
                <w:rFonts w:hint="default" w:ascii="Arial"/>
                <w:kern w:val="2"/>
                <w:sz w:val="21"/>
                <w:lang w:val="en-US" w:eastAsia="zh-CN" w:bidi="ar-SA"/>
              </w:rPr>
            </w:pPr>
            <w:r>
              <w:rPr>
                <w:rFonts w:hint="eastAsia" w:ascii="Arial"/>
                <w:kern w:val="2"/>
                <w:sz w:val="21"/>
                <w:lang w:val="en-US" w:eastAsia="zh-CN" w:bidi="ar-SA"/>
              </w:rPr>
              <w:t xml:space="preserve">     95%</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88" w:line="259" w:lineRule="auto"/>
              <w:ind w:left="281" w:leftChars="0" w:right="86" w:rightChars="0" w:hanging="210" w:firstLineChars="0"/>
              <w:rPr>
                <w:rFonts w:ascii="宋体" w:hAnsi="宋体" w:eastAsia="宋体" w:cs="宋体"/>
                <w:sz w:val="11"/>
                <w:szCs w:val="11"/>
              </w:rPr>
            </w:pPr>
            <w:r>
              <w:rPr>
                <w:rFonts w:ascii="宋体" w:hAnsi="宋体" w:eastAsia="宋体" w:cs="宋体"/>
                <w:spacing w:val="-3"/>
                <w:sz w:val="21"/>
                <w:szCs w:val="21"/>
              </w:rPr>
              <w:t>经济效益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pPr>
              <w:rPr>
                <w:rFonts w:hint="eastAsia" w:ascii="Arial" w:eastAsia="宋体"/>
                <w:kern w:val="2"/>
                <w:sz w:val="21"/>
                <w:lang w:val="en-US" w:eastAsia="zh-CN" w:bidi="ar-SA"/>
              </w:rPr>
            </w:pPr>
          </w:p>
        </w:tc>
        <w:tc>
          <w:tcPr>
            <w:tcW w:w="1458" w:type="dxa"/>
            <w:noWrap w:val="0"/>
            <w:vAlign w:val="top"/>
          </w:tcPr>
          <w:p>
            <w:pPr>
              <w:ind w:firstLine="210" w:firstLineChars="100"/>
              <w:rPr>
                <w:rFonts w:hint="default" w:ascii="Arial" w:eastAsia="宋体"/>
                <w:kern w:val="2"/>
                <w:sz w:val="21"/>
                <w:lang w:val="en-US" w:eastAsia="zh-CN" w:bidi="ar-SA"/>
              </w:rPr>
            </w:pPr>
          </w:p>
        </w:tc>
        <w:tc>
          <w:tcPr>
            <w:tcW w:w="1318" w:type="dxa"/>
            <w:gridSpan w:val="2"/>
            <w:noWrap w:val="0"/>
            <w:vAlign w:val="top"/>
          </w:tcPr>
          <w:p>
            <w:pPr>
              <w:rPr>
                <w:rFonts w:hint="default" w:ascii="Arial"/>
                <w:kern w:val="2"/>
                <w:sz w:val="21"/>
                <w:lang w:val="en-US" w:eastAsia="zh-CN" w:bidi="ar-SA"/>
              </w:rPr>
            </w:pPr>
          </w:p>
        </w:tc>
        <w:tc>
          <w:tcPr>
            <w:tcW w:w="884" w:type="dxa"/>
            <w:noWrap w:val="0"/>
            <w:vAlign w:val="top"/>
          </w:tcPr>
          <w:p>
            <w:pPr>
              <w:spacing w:before="64" w:line="220" w:lineRule="auto"/>
              <w:ind w:left="146" w:leftChars="0"/>
              <w:jc w:val="left"/>
              <w:rPr>
                <w:rFonts w:hint="default" w:ascii="Arial" w:eastAsia="宋体"/>
                <w:kern w:val="2"/>
                <w:sz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07" w:line="242" w:lineRule="auto"/>
              <w:ind w:left="281" w:leftChars="0" w:right="86" w:rightChars="0" w:hanging="210" w:firstLineChars="0"/>
              <w:rPr>
                <w:rFonts w:ascii="宋体" w:hAnsi="宋体" w:eastAsia="宋体" w:cs="宋体"/>
                <w:sz w:val="22"/>
                <w:szCs w:val="22"/>
              </w:rPr>
            </w:pPr>
            <w:r>
              <w:rPr>
                <w:rFonts w:ascii="宋体" w:hAnsi="宋体" w:eastAsia="宋体" w:cs="宋体"/>
                <w:spacing w:val="-3"/>
                <w:sz w:val="21"/>
                <w:szCs w:val="21"/>
              </w:rPr>
              <w:t>社会效益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pPr>
              <w:rPr>
                <w:rFonts w:hint="eastAsia" w:ascii="Arial" w:eastAsia="宋体"/>
                <w:kern w:val="2"/>
                <w:sz w:val="21"/>
                <w:lang w:val="en-US" w:eastAsia="zh-CN" w:bidi="ar-SA"/>
              </w:rPr>
            </w:pPr>
            <w:r>
              <w:rPr>
                <w:rFonts w:hint="eastAsia" w:ascii="Arial"/>
                <w:sz w:val="21"/>
                <w:lang w:eastAsia="zh-CN"/>
              </w:rPr>
              <w:t>权益维护率、政策落实率</w:t>
            </w:r>
          </w:p>
        </w:tc>
        <w:tc>
          <w:tcPr>
            <w:tcW w:w="1458" w:type="dxa"/>
            <w:noWrap w:val="0"/>
            <w:vAlign w:val="top"/>
          </w:tcPr>
          <w:p>
            <w:pPr>
              <w:ind w:firstLine="210" w:firstLineChars="100"/>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pPr>
              <w:rPr>
                <w:rFonts w:hint="default" w:ascii="Arial"/>
                <w:kern w:val="2"/>
                <w:sz w:val="21"/>
                <w:lang w:val="en-US" w:eastAsia="zh-CN" w:bidi="ar-SA"/>
              </w:rPr>
            </w:pPr>
            <w:r>
              <w:rPr>
                <w:rFonts w:hint="eastAsia" w:ascii="Arial"/>
                <w:kern w:val="2"/>
                <w:sz w:val="21"/>
                <w:lang w:val="en-US" w:eastAsia="zh-CN" w:bidi="ar-SA"/>
              </w:rPr>
              <w:t xml:space="preserve">   100%</w:t>
            </w:r>
          </w:p>
        </w:tc>
        <w:tc>
          <w:tcPr>
            <w:tcW w:w="884" w:type="dxa"/>
            <w:noWrap w:val="0"/>
            <w:vAlign w:val="top"/>
          </w:tcPr>
          <w:p>
            <w:pPr>
              <w:spacing w:before="64" w:line="220" w:lineRule="auto"/>
              <w:ind w:left="146" w:leftChars="0"/>
              <w:jc w:val="left"/>
              <w:rPr>
                <w:rFonts w:hint="default" w:ascii="Arial"/>
                <w:kern w:val="2"/>
                <w:sz w:val="21"/>
                <w:lang w:val="en-US" w:eastAsia="zh-CN" w:bidi="ar-SA"/>
              </w:rPr>
            </w:pPr>
            <w:r>
              <w:rPr>
                <w:rFonts w:hint="eastAsia" w:ascii="宋体" w:hAnsi="宋体" w:eastAsia="宋体" w:cs="宋体"/>
                <w:spacing w:val="3"/>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退役军人满意率</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 xml:space="preserve">   95%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 xml:space="preserve">  95%</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 xml:space="preserve">    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hint="default" w:ascii="Arial" w:eastAsia="宋体"/>
                <w:sz w:val="21"/>
                <w:lang w:val="en-US" w:eastAsia="zh-CN"/>
              </w:rPr>
            </w:pPr>
            <w:r>
              <w:rPr>
                <w:rFonts w:hint="eastAsia" w:ascii="Arial"/>
                <w:sz w:val="21"/>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hint="default" w:ascii="Arial" w:eastAsia="宋体"/>
                <w:sz w:val="21"/>
                <w:lang w:val="en-US" w:eastAsia="zh-CN"/>
              </w:rPr>
            </w:pPr>
            <w:r>
              <w:rPr>
                <w:rFonts w:hint="eastAsia" w:ascii="Arial"/>
                <w:sz w:val="21"/>
                <w:lang w:val="en-US" w:eastAsia="zh-CN"/>
              </w:rPr>
              <w:t xml:space="preserve">   无</w:t>
            </w:r>
          </w:p>
        </w:tc>
      </w:tr>
    </w:tbl>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2. “八一”春节慰问经费经费绩效自评：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项目全年预算数为25万元，其中：一般公共预算财政拨款25万元。执行数为25万元，完成预算100%。</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做好双拥走访慰问，将党和政府关怀传递给每一位退役军人一是对军分区、市武警支队、区人武部，辖区驻军慰问，慰问率达100%；二是全区在册退役军人，慰问率10%；三是体现党组织的关心关怀，满意度达95%以上；四是体现组织关怀，慰问对象满意率达95%以上。</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4" w:lineRule="atLeast"/>
        <w:jc w:val="center"/>
        <w:rPr>
          <w:rFonts w:hint="eastAsia" w:ascii="Arial" w:hAnsi="Arial" w:eastAsia="宋体" w:cs="Arial"/>
          <w:color w:val="000000"/>
          <w:kern w:val="0"/>
          <w:sz w:val="27"/>
          <w:szCs w:val="27"/>
          <w:lang w:eastAsia="zh-CN"/>
        </w:rPr>
      </w:pPr>
      <w:r>
        <w:rPr>
          <w:rFonts w:ascii="Arial" w:hAnsi="Arial" w:eastAsia="宋体" w:cs="Arial"/>
          <w:b/>
          <w:bCs/>
          <w:color w:val="000000"/>
          <w:kern w:val="0"/>
          <w:sz w:val="27"/>
        </w:rPr>
        <w:t>“八一”春节慰问经费经费绩效自评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hint="eastAsia" w:ascii="Arial" w:eastAsia="宋体"/>
                <w:sz w:val="21"/>
                <w:lang w:eastAsia="zh-CN"/>
              </w:rPr>
            </w:pPr>
            <w:r>
              <w:rPr>
                <w:rFonts w:hint="eastAsia" w:ascii="Arial"/>
                <w:sz w:val="21"/>
                <w:lang w:eastAsia="zh-CN"/>
              </w:rPr>
              <w:t>八一春节慰问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下陆区退役军人事务局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 xml:space="preserve">   25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 xml:space="preserve">   25</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 xml:space="preserve">    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ind w:firstLine="210" w:firstLineChars="100"/>
              <w:rPr>
                <w:rFonts w:hint="eastAsia" w:ascii="Arial"/>
                <w:sz w:val="21"/>
                <w:lang w:eastAsia="zh-CN"/>
              </w:rPr>
            </w:pPr>
          </w:p>
          <w:p>
            <w:pPr>
              <w:ind w:firstLine="210" w:firstLineChars="100"/>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pPr>
              <w:rPr>
                <w:rFonts w:hint="default" w:ascii="Arial" w:eastAsia="宋体"/>
                <w:sz w:val="21"/>
                <w:lang w:val="en-US" w:eastAsia="zh-CN"/>
              </w:rPr>
            </w:pPr>
            <w:r>
              <w:rPr>
                <w:rFonts w:hint="eastAsia" w:ascii="Arial"/>
                <w:sz w:val="21"/>
                <w:lang w:val="en-US" w:eastAsia="zh-CN"/>
              </w:rPr>
              <w:t>春节、八一慰问对象人数</w:t>
            </w:r>
          </w:p>
        </w:tc>
        <w:tc>
          <w:tcPr>
            <w:tcW w:w="1458" w:type="dxa"/>
            <w:noWrap w:val="0"/>
            <w:vAlign w:val="top"/>
          </w:tcPr>
          <w:p>
            <w:pPr>
              <w:jc w:val="center"/>
              <w:rPr>
                <w:rFonts w:hint="default" w:ascii="Arial" w:eastAsia="宋体"/>
                <w:sz w:val="21"/>
                <w:lang w:val="en-US" w:eastAsia="zh-CN"/>
              </w:rPr>
            </w:pPr>
            <w:r>
              <w:rPr>
                <w:rFonts w:hint="eastAsia" w:ascii="Arial"/>
                <w:sz w:val="21"/>
                <w:lang w:val="en-US" w:eastAsia="zh-CN"/>
              </w:rPr>
              <w:t>1000</w:t>
            </w:r>
          </w:p>
        </w:tc>
        <w:tc>
          <w:tcPr>
            <w:tcW w:w="1318" w:type="dxa"/>
            <w:gridSpan w:val="2"/>
            <w:noWrap w:val="0"/>
            <w:vAlign w:val="top"/>
          </w:tcPr>
          <w:p>
            <w:pPr>
              <w:jc w:val="center"/>
              <w:rPr>
                <w:rFonts w:hint="eastAsia" w:ascii="Arial"/>
                <w:sz w:val="21"/>
                <w:lang w:val="en-US" w:eastAsia="zh-CN"/>
              </w:rPr>
            </w:pPr>
          </w:p>
          <w:p>
            <w:pPr>
              <w:ind w:firstLine="210" w:firstLineChars="100"/>
              <w:jc w:val="center"/>
              <w:rPr>
                <w:rFonts w:hint="default" w:ascii="Arial"/>
                <w:sz w:val="21"/>
                <w:lang w:val="en-US" w:eastAsia="zh-CN"/>
              </w:rPr>
            </w:pPr>
            <w:r>
              <w:rPr>
                <w:rFonts w:hint="eastAsia" w:ascii="Arial"/>
                <w:sz w:val="21"/>
                <w:lang w:val="en-US" w:eastAsia="zh-CN"/>
              </w:rPr>
              <w:t>&gt;1000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ind w:firstLine="210" w:firstLineChars="100"/>
              <w:rPr>
                <w:rFonts w:hint="eastAsia" w:ascii="Arial"/>
                <w:sz w:val="21"/>
                <w:lang w:eastAsia="zh-CN"/>
              </w:rPr>
            </w:pPr>
          </w:p>
          <w:p>
            <w:pPr>
              <w:ind w:firstLine="210" w:firstLineChars="100"/>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发放指标是否复核相关政策规定</w:t>
            </w:r>
          </w:p>
        </w:tc>
        <w:tc>
          <w:tcPr>
            <w:tcW w:w="1458" w:type="dxa"/>
            <w:noWrap w:val="0"/>
            <w:vAlign w:val="top"/>
          </w:tcPr>
          <w:p>
            <w:pPr>
              <w:jc w:val="center"/>
              <w:rPr>
                <w:rFonts w:hint="default" w:ascii="Arial" w:eastAsia="宋体"/>
                <w:sz w:val="21"/>
                <w:lang w:val="en-US" w:eastAsia="zh-CN"/>
              </w:rPr>
            </w:pPr>
            <w:r>
              <w:rPr>
                <w:rFonts w:hint="eastAsia" w:ascii="Arial"/>
                <w:sz w:val="21"/>
                <w:lang w:val="en-US" w:eastAsia="zh-CN"/>
              </w:rPr>
              <w:t>是</w:t>
            </w:r>
          </w:p>
        </w:tc>
        <w:tc>
          <w:tcPr>
            <w:tcW w:w="1318" w:type="dxa"/>
            <w:gridSpan w:val="2"/>
            <w:noWrap w:val="0"/>
            <w:vAlign w:val="top"/>
          </w:tcPr>
          <w:p>
            <w:pPr>
              <w:jc w:val="center"/>
              <w:rPr>
                <w:rFonts w:hint="default" w:ascii="Arial" w:eastAsia="宋体"/>
                <w:sz w:val="21"/>
                <w:lang w:val="en-US" w:eastAsia="zh-CN"/>
              </w:rPr>
            </w:pPr>
            <w:r>
              <w:rPr>
                <w:rFonts w:hint="eastAsia" w:ascii="Arial"/>
                <w:sz w:val="21"/>
                <w:lang w:val="en-US" w:eastAsia="zh-CN"/>
              </w:rPr>
              <w:t>是</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 xml:space="preserve">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firstLine="210" w:firstLineChars="100"/>
              <w:rPr>
                <w:rFonts w:hint="eastAsia" w:ascii="宋体" w:hAnsi="宋体" w:eastAsia="宋体" w:cs="宋体"/>
                <w:sz w:val="11"/>
                <w:szCs w:val="11"/>
                <w:lang w:eastAsia="zh-CN"/>
              </w:rPr>
            </w:pPr>
            <w:r>
              <w:rPr>
                <w:rFonts w:hint="eastAsia" w:ascii="宋体" w:hAnsi="宋体" w:eastAsia="宋体" w:cs="宋体"/>
                <w:sz w:val="21"/>
                <w:szCs w:val="21"/>
                <w:lang w:eastAsia="zh-CN"/>
              </w:rPr>
              <w:t>时效指标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资金是否及时发放</w:t>
            </w:r>
          </w:p>
        </w:tc>
        <w:tc>
          <w:tcPr>
            <w:tcW w:w="1458" w:type="dxa"/>
            <w:noWrap w:val="0"/>
            <w:vAlign w:val="top"/>
          </w:tcPr>
          <w:p>
            <w:pPr>
              <w:ind w:firstLine="630" w:firstLineChars="300"/>
              <w:jc w:val="both"/>
              <w:rPr>
                <w:rFonts w:hint="eastAsia" w:ascii="Arial" w:eastAsia="宋体"/>
                <w:sz w:val="21"/>
                <w:lang w:eastAsia="zh-CN"/>
              </w:rPr>
            </w:pPr>
            <w:r>
              <w:rPr>
                <w:rFonts w:hint="eastAsia" w:ascii="Arial"/>
                <w:sz w:val="21"/>
                <w:lang w:eastAsia="zh-CN"/>
              </w:rPr>
              <w:t>是</w:t>
            </w:r>
          </w:p>
        </w:tc>
        <w:tc>
          <w:tcPr>
            <w:tcW w:w="1318" w:type="dxa"/>
            <w:gridSpan w:val="2"/>
            <w:noWrap w:val="0"/>
            <w:vAlign w:val="top"/>
          </w:tcPr>
          <w:p>
            <w:pPr>
              <w:ind w:firstLine="630" w:firstLineChars="300"/>
              <w:jc w:val="both"/>
              <w:rPr>
                <w:rFonts w:hint="eastAsia" w:ascii="Arial" w:eastAsia="宋体"/>
                <w:sz w:val="21"/>
                <w:lang w:eastAsia="zh-CN"/>
              </w:rPr>
            </w:pPr>
            <w:r>
              <w:rPr>
                <w:rFonts w:hint="eastAsia" w:ascii="Arial"/>
                <w:sz w:val="21"/>
                <w:lang w:eastAsia="zh-CN"/>
              </w:rPr>
              <w:t>是</w:t>
            </w:r>
          </w:p>
        </w:tc>
        <w:tc>
          <w:tcPr>
            <w:tcW w:w="884" w:type="dxa"/>
            <w:noWrap w:val="0"/>
            <w:vAlign w:val="top"/>
          </w:tcPr>
          <w:p>
            <w:pPr>
              <w:ind w:firstLine="210" w:firstLineChars="100"/>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社会效益指标</w:t>
            </w:r>
          </w:p>
        </w:tc>
        <w:tc>
          <w:tcPr>
            <w:tcW w:w="2647" w:type="dxa"/>
            <w:gridSpan w:val="3"/>
            <w:noWrap w:val="0"/>
            <w:vAlign w:val="top"/>
          </w:tcPr>
          <w:p>
            <w:pPr>
              <w:rPr>
                <w:rFonts w:hint="eastAsia" w:ascii="Arial" w:eastAsia="宋体"/>
                <w:kern w:val="2"/>
                <w:sz w:val="21"/>
                <w:lang w:val="en-US" w:eastAsia="zh-CN" w:bidi="ar-SA"/>
              </w:rPr>
            </w:pPr>
            <w:r>
              <w:rPr>
                <w:rFonts w:hint="eastAsia" w:ascii="Arial"/>
                <w:sz w:val="21"/>
                <w:lang w:eastAsia="zh-CN"/>
              </w:rPr>
              <w:t>体现党组织关怀满意度</w:t>
            </w:r>
          </w:p>
        </w:tc>
        <w:tc>
          <w:tcPr>
            <w:tcW w:w="1458" w:type="dxa"/>
            <w:noWrap w:val="0"/>
            <w:vAlign w:val="top"/>
          </w:tcPr>
          <w:p>
            <w:pPr>
              <w:jc w:val="center"/>
              <w:rPr>
                <w:rFonts w:hint="default" w:ascii="Arial" w:eastAsia="宋体"/>
                <w:kern w:val="2"/>
                <w:sz w:val="21"/>
                <w:lang w:val="en-US" w:eastAsia="zh-CN" w:bidi="ar-SA"/>
              </w:rPr>
            </w:pPr>
            <w:r>
              <w:rPr>
                <w:rFonts w:hint="eastAsia" w:ascii="Arial"/>
                <w:sz w:val="21"/>
                <w:lang w:val="en-US" w:eastAsia="zh-CN"/>
              </w:rPr>
              <w:t>95%</w:t>
            </w:r>
          </w:p>
        </w:tc>
        <w:tc>
          <w:tcPr>
            <w:tcW w:w="1318" w:type="dxa"/>
            <w:gridSpan w:val="2"/>
            <w:noWrap w:val="0"/>
            <w:vAlign w:val="top"/>
          </w:tcPr>
          <w:p>
            <w:pPr>
              <w:jc w:val="center"/>
              <w:rPr>
                <w:rFonts w:hint="default" w:ascii="Arial" w:eastAsia="宋体"/>
                <w:kern w:val="2"/>
                <w:sz w:val="21"/>
                <w:lang w:val="en-US" w:eastAsia="zh-CN" w:bidi="ar-SA"/>
              </w:rPr>
            </w:pPr>
            <w:r>
              <w:rPr>
                <w:rFonts w:hint="eastAsia" w:ascii="Arial"/>
                <w:sz w:val="21"/>
                <w:lang w:val="en-US" w:eastAsia="zh-CN"/>
              </w:rPr>
              <w:t>95%</w:t>
            </w:r>
          </w:p>
        </w:tc>
        <w:tc>
          <w:tcPr>
            <w:tcW w:w="884" w:type="dxa"/>
            <w:noWrap w:val="0"/>
            <w:vAlign w:val="top"/>
          </w:tcPr>
          <w:p>
            <w:pPr>
              <w:ind w:firstLine="210" w:firstLineChars="100"/>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服务对象满意度指标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社会群体满意度</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 xml:space="preserve">  95%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 xml:space="preserve">   95%</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hint="default" w:ascii="Arial" w:eastAsia="宋体"/>
                <w:sz w:val="21"/>
                <w:lang w:val="en-US" w:eastAsia="zh-CN"/>
              </w:rPr>
            </w:pPr>
            <w:r>
              <w:rPr>
                <w:rFonts w:hint="eastAsia" w:ascii="Arial"/>
                <w:sz w:val="21"/>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hint="default" w:ascii="Arial" w:eastAsia="宋体"/>
                <w:sz w:val="21"/>
                <w:lang w:val="en-US" w:eastAsia="zh-CN"/>
              </w:rPr>
            </w:pPr>
            <w:r>
              <w:rPr>
                <w:rFonts w:hint="eastAsia" w:ascii="Arial"/>
                <w:sz w:val="21"/>
                <w:lang w:val="en-US" w:eastAsia="zh-CN"/>
              </w:rPr>
              <w:t xml:space="preserve">   无</w:t>
            </w:r>
          </w:p>
        </w:tc>
      </w:tr>
    </w:tbl>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color w:val="000000"/>
          <w:kern w:val="0"/>
          <w:sz w:val="27"/>
          <w:szCs w:val="27"/>
        </w:rPr>
        <w:t>3、</w:t>
      </w:r>
      <w:r>
        <w:rPr>
          <w:rFonts w:ascii="Arial" w:hAnsi="Arial" w:eastAsia="宋体" w:cs="Arial"/>
          <w:b/>
          <w:bCs/>
          <w:color w:val="000000"/>
          <w:kern w:val="0"/>
          <w:sz w:val="27"/>
        </w:rPr>
        <w:t>信访维稳专项项目</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项目全年预算数为3万元，其中：一般公共预算财政拨款3万元。执行数为0.83万元，完成预算27.67%。</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主要产出和效益：1、积案化解：用于化解信访积案，从源头上消除信访来源，控制上访数量，维护社会大局稳定；2、维稳经费：用于对退役军人重点人员在重大时间节点进行维稳防控。</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 </w:t>
      </w:r>
    </w:p>
    <w:p>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信访维稳专项项目</w:t>
      </w:r>
      <w:r>
        <w:rPr>
          <w:rFonts w:hint="eastAsia" w:ascii="Arial" w:hAnsi="Arial" w:eastAsia="宋体" w:cs="Arial"/>
          <w:b/>
          <w:bCs/>
          <w:color w:val="000000"/>
          <w:kern w:val="0"/>
          <w:sz w:val="27"/>
          <w:lang w:eastAsia="zh-CN"/>
        </w:rPr>
        <w:t>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Arial"/>
                <w:sz w:val="21"/>
                <w:lang w:val="en-US" w:eastAsia="zh-CN"/>
              </w:rPr>
              <w:t>信访维稳专项项目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下陆区退役军人事务局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 xml:space="preserve">   3</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 xml:space="preserve">    0.83</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 xml:space="preserve">   27.67%</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 xml:space="preserve">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spacing w:before="244" w:line="219"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数量指标</w:t>
            </w:r>
          </w:p>
        </w:tc>
        <w:tc>
          <w:tcPr>
            <w:tcW w:w="2647" w:type="dxa"/>
            <w:gridSpan w:val="3"/>
            <w:noWrap w:val="0"/>
            <w:vAlign w:val="top"/>
          </w:tcPr>
          <w:p>
            <w:pPr>
              <w:jc w:val="center"/>
              <w:rPr>
                <w:rFonts w:hint="eastAsia" w:ascii="Arial" w:eastAsia="宋体"/>
                <w:kern w:val="2"/>
                <w:sz w:val="21"/>
                <w:lang w:val="en-US" w:eastAsia="zh-CN" w:bidi="ar-SA"/>
              </w:rPr>
            </w:pPr>
            <w:r>
              <w:rPr>
                <w:rFonts w:hint="eastAsia" w:ascii="Arial"/>
                <w:sz w:val="21"/>
                <w:lang w:eastAsia="zh-CN"/>
              </w:rPr>
              <w:t>来信来访登记率</w:t>
            </w:r>
          </w:p>
        </w:tc>
        <w:tc>
          <w:tcPr>
            <w:tcW w:w="1458" w:type="dxa"/>
            <w:noWrap w:val="0"/>
            <w:vAlign w:val="top"/>
          </w:tcPr>
          <w:p>
            <w:pPr>
              <w:jc w:val="cente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pPr>
              <w:jc w:val="center"/>
              <w:rPr>
                <w:rFonts w:hint="default" w:ascii="Arial" w:eastAsia="宋体"/>
                <w:kern w:val="2"/>
                <w:sz w:val="21"/>
                <w:lang w:val="en-US" w:eastAsia="zh-CN" w:bidi="ar-SA"/>
              </w:rPr>
            </w:pPr>
            <w:r>
              <w:rPr>
                <w:rFonts w:hint="eastAsia" w:ascii="Arial"/>
                <w:sz w:val="21"/>
                <w:lang w:val="en-US" w:eastAsia="zh-CN"/>
              </w:rPr>
              <w:t>70%</w:t>
            </w:r>
          </w:p>
        </w:tc>
        <w:tc>
          <w:tcPr>
            <w:tcW w:w="884" w:type="dxa"/>
            <w:noWrap w:val="0"/>
            <w:vAlign w:val="top"/>
          </w:tcPr>
          <w:p>
            <w:pPr>
              <w:jc w:val="center"/>
              <w:rPr>
                <w:rFonts w:hint="default" w:ascii="Arial" w:eastAsia="宋体"/>
                <w:kern w:val="2"/>
                <w:sz w:val="21"/>
                <w:lang w:val="en-US" w:eastAsia="zh-CN" w:bidi="ar-SA"/>
              </w:rPr>
            </w:pPr>
            <w:r>
              <w:rPr>
                <w:rFonts w:hint="eastAsia" w:ascii="Arial" w:eastAsia="宋体"/>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56" w:line="220"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质量指标</w:t>
            </w:r>
          </w:p>
        </w:tc>
        <w:tc>
          <w:tcPr>
            <w:tcW w:w="2647" w:type="dxa"/>
            <w:gridSpan w:val="3"/>
            <w:noWrap w:val="0"/>
            <w:vAlign w:val="top"/>
          </w:tcPr>
          <w:p>
            <w:pPr>
              <w:jc w:val="center"/>
              <w:rPr>
                <w:rFonts w:hint="eastAsia" w:ascii="Arial" w:eastAsia="宋体"/>
                <w:kern w:val="2"/>
                <w:sz w:val="21"/>
                <w:lang w:val="en-US" w:eastAsia="zh-CN" w:bidi="ar-SA"/>
              </w:rPr>
            </w:pPr>
            <w:r>
              <w:rPr>
                <w:rFonts w:hint="eastAsia" w:ascii="Arial"/>
                <w:sz w:val="21"/>
                <w:lang w:eastAsia="zh-CN"/>
              </w:rPr>
              <w:t>化解信访率</w:t>
            </w:r>
          </w:p>
        </w:tc>
        <w:tc>
          <w:tcPr>
            <w:tcW w:w="1458" w:type="dxa"/>
            <w:noWrap w:val="0"/>
            <w:vAlign w:val="top"/>
          </w:tcPr>
          <w:p>
            <w:pPr>
              <w:jc w:val="center"/>
              <w:rPr>
                <w:rFonts w:hint="default" w:ascii="Arial" w:eastAsia="宋体"/>
                <w:kern w:val="2"/>
                <w:sz w:val="21"/>
                <w:lang w:val="en-US" w:eastAsia="zh-CN" w:bidi="ar-SA"/>
              </w:rPr>
            </w:pPr>
            <w:r>
              <w:rPr>
                <w:rFonts w:hint="eastAsia" w:ascii="Arial"/>
                <w:sz w:val="21"/>
                <w:lang w:val="en-US" w:eastAsia="zh-CN"/>
              </w:rPr>
              <w:t>85%</w:t>
            </w:r>
          </w:p>
        </w:tc>
        <w:tc>
          <w:tcPr>
            <w:tcW w:w="1318" w:type="dxa"/>
            <w:gridSpan w:val="2"/>
            <w:noWrap w:val="0"/>
            <w:vAlign w:val="top"/>
          </w:tcPr>
          <w:p>
            <w:pPr>
              <w:jc w:val="center"/>
              <w:rPr>
                <w:rFonts w:hint="default" w:ascii="Arial" w:eastAsia="宋体"/>
                <w:kern w:val="2"/>
                <w:sz w:val="21"/>
                <w:lang w:val="en-US" w:eastAsia="zh-CN" w:bidi="ar-SA"/>
              </w:rPr>
            </w:pPr>
            <w:r>
              <w:rPr>
                <w:rFonts w:hint="eastAsia" w:ascii="Arial"/>
                <w:sz w:val="21"/>
                <w:lang w:val="en-US" w:eastAsia="zh-CN"/>
              </w:rPr>
              <w:t>85%</w:t>
            </w:r>
          </w:p>
        </w:tc>
        <w:tc>
          <w:tcPr>
            <w:tcW w:w="884" w:type="dxa"/>
            <w:noWrap w:val="0"/>
            <w:vAlign w:val="top"/>
          </w:tcPr>
          <w:p>
            <w:pPr>
              <w:jc w:val="center"/>
              <w:rPr>
                <w:rFonts w:hint="default" w:ascii="Arial"/>
                <w:kern w:val="2"/>
                <w:sz w:val="21"/>
                <w:lang w:val="en-US" w:eastAsia="zh-CN" w:bidi="ar-SA"/>
              </w:rPr>
            </w:pPr>
            <w:r>
              <w:rPr>
                <w:rFonts w:hint="eastAsia" w:ascii="Arial"/>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107" w:line="242" w:lineRule="auto"/>
              <w:ind w:left="281" w:leftChars="0" w:right="86" w:rightChars="0" w:hanging="210" w:firstLine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社会效益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pPr>
              <w:jc w:val="center"/>
              <w:rPr>
                <w:rFonts w:hint="eastAsia" w:ascii="Arial" w:eastAsia="宋体"/>
                <w:kern w:val="2"/>
                <w:sz w:val="21"/>
                <w:lang w:val="en-US" w:eastAsia="zh-CN" w:bidi="ar-SA"/>
              </w:rPr>
            </w:pPr>
            <w:r>
              <w:rPr>
                <w:rFonts w:hint="eastAsia" w:ascii="Arial"/>
                <w:sz w:val="21"/>
                <w:lang w:eastAsia="zh-CN"/>
              </w:rPr>
              <w:t>无赴省进京非访情况发生</w:t>
            </w:r>
          </w:p>
        </w:tc>
        <w:tc>
          <w:tcPr>
            <w:tcW w:w="1458" w:type="dxa"/>
            <w:noWrap w:val="0"/>
            <w:vAlign w:val="top"/>
          </w:tcPr>
          <w:p>
            <w:pPr>
              <w:jc w:val="center"/>
              <w:rPr>
                <w:rFonts w:hint="eastAsia" w:ascii="Arial" w:eastAsia="宋体"/>
                <w:kern w:val="2"/>
                <w:sz w:val="21"/>
                <w:lang w:val="en-US" w:eastAsia="zh-CN" w:bidi="ar-SA"/>
              </w:rPr>
            </w:pPr>
            <w:r>
              <w:rPr>
                <w:rFonts w:hint="eastAsia" w:ascii="Arial"/>
                <w:sz w:val="21"/>
                <w:lang w:eastAsia="zh-CN"/>
              </w:rPr>
              <w:t>来访人员满意</w:t>
            </w:r>
          </w:p>
        </w:tc>
        <w:tc>
          <w:tcPr>
            <w:tcW w:w="1318" w:type="dxa"/>
            <w:gridSpan w:val="2"/>
            <w:noWrap w:val="0"/>
            <w:vAlign w:val="top"/>
          </w:tcPr>
          <w:p>
            <w:pPr>
              <w:jc w:val="center"/>
              <w:rPr>
                <w:rFonts w:ascii="Arial"/>
                <w:kern w:val="2"/>
                <w:sz w:val="21"/>
                <w:lang w:val="en-US" w:eastAsia="zh-CN" w:bidi="ar-SA"/>
              </w:rPr>
            </w:pPr>
            <w:r>
              <w:rPr>
                <w:rFonts w:hint="eastAsia" w:ascii="Arial"/>
                <w:sz w:val="21"/>
                <w:lang w:eastAsia="zh-CN"/>
              </w:rPr>
              <w:t>来访人员满意</w:t>
            </w:r>
          </w:p>
        </w:tc>
        <w:tc>
          <w:tcPr>
            <w:tcW w:w="884" w:type="dxa"/>
            <w:noWrap w:val="0"/>
            <w:vAlign w:val="top"/>
          </w:tcPr>
          <w:p>
            <w:pPr>
              <w:jc w:val="center"/>
              <w:rPr>
                <w:rFonts w:hint="default" w:ascii="Arial"/>
                <w:kern w:val="2"/>
                <w:sz w:val="21"/>
                <w:lang w:val="en-US" w:eastAsia="zh-CN" w:bidi="ar-SA"/>
              </w:rPr>
            </w:pPr>
            <w:r>
              <w:rPr>
                <w:rFonts w:hint="eastAsia" w:ascii="Arial"/>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69" w:line="219" w:lineRule="auto"/>
              <w:jc w:val="both"/>
              <w:rPr>
                <w:rFonts w:ascii="宋体" w:hAnsi="宋体" w:eastAsia="宋体" w:cs="宋体"/>
                <w:sz w:val="11"/>
                <w:szCs w:val="11"/>
              </w:rPr>
            </w:pPr>
            <w:r>
              <w:rPr>
                <w:rFonts w:ascii="宋体" w:hAnsi="宋体" w:eastAsia="宋体" w:cs="宋体"/>
                <w:spacing w:val="-2"/>
                <w:sz w:val="21"/>
                <w:szCs w:val="21"/>
              </w:rPr>
              <w:t>服务对象</w:t>
            </w:r>
            <w:r>
              <w:rPr>
                <w:rFonts w:ascii="宋体" w:hAnsi="宋体" w:eastAsia="宋体" w:cs="宋体"/>
                <w:spacing w:val="4"/>
                <w:sz w:val="21"/>
                <w:szCs w:val="21"/>
              </w:rPr>
              <w:t>满意度</w:t>
            </w:r>
            <w:r>
              <w:rPr>
                <w:rFonts w:ascii="宋体" w:hAnsi="宋体" w:eastAsia="宋体" w:cs="宋体"/>
                <w:spacing w:val="-3"/>
                <w:sz w:val="21"/>
                <w:szCs w:val="21"/>
              </w:rPr>
              <w:t>指标</w:t>
            </w:r>
          </w:p>
        </w:tc>
        <w:tc>
          <w:tcPr>
            <w:tcW w:w="2647" w:type="dxa"/>
            <w:gridSpan w:val="3"/>
            <w:noWrap w:val="0"/>
            <w:vAlign w:val="top"/>
          </w:tcPr>
          <w:p>
            <w:pPr>
              <w:jc w:val="center"/>
              <w:rPr>
                <w:rFonts w:ascii="Arial"/>
                <w:sz w:val="21"/>
              </w:rPr>
            </w:pPr>
            <w:r>
              <w:rPr>
                <w:rFonts w:hint="eastAsia" w:ascii="Arial"/>
                <w:sz w:val="21"/>
                <w:lang w:eastAsia="zh-CN"/>
              </w:rPr>
              <w:t>来访人员满意度</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pPr>
              <w:ind w:firstLine="210" w:firstLineChars="100"/>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 xml:space="preserve">      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hint="default" w:ascii="Arial" w:eastAsia="宋体"/>
                <w:sz w:val="21"/>
                <w:lang w:val="en-US" w:eastAsia="zh-CN"/>
              </w:rPr>
            </w:pPr>
            <w:r>
              <w:rPr>
                <w:rFonts w:hint="eastAsia" w:ascii="Arial"/>
                <w:sz w:val="21"/>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hint="default" w:ascii="Arial" w:eastAsia="宋体"/>
                <w:sz w:val="21"/>
                <w:lang w:val="en-US" w:eastAsia="zh-CN"/>
              </w:rPr>
            </w:pPr>
            <w:r>
              <w:rPr>
                <w:rFonts w:hint="eastAsia" w:ascii="Arial"/>
                <w:sz w:val="21"/>
                <w:lang w:val="en-US" w:eastAsia="zh-CN"/>
              </w:rPr>
              <w:t xml:space="preserve">   无</w:t>
            </w:r>
          </w:p>
        </w:tc>
      </w:tr>
    </w:tbl>
    <w:p>
      <w:pPr>
        <w:widowControl/>
        <w:shd w:val="clear" w:color="auto" w:fill="FFFFFF"/>
        <w:spacing w:line="424" w:lineRule="atLeast"/>
        <w:jc w:val="left"/>
        <w:rPr>
          <w:rFonts w:ascii="Arial" w:hAnsi="Arial" w:eastAsia="宋体" w:cs="Arial"/>
          <w:color w:val="000000"/>
          <w:kern w:val="0"/>
          <w:szCs w:val="21"/>
        </w:rPr>
      </w:pPr>
      <w:r>
        <w:rPr>
          <w:rFonts w:ascii="Arial" w:hAnsi="Arial" w:eastAsia="宋体" w:cs="Arial"/>
          <w:color w:val="000000"/>
          <w:kern w:val="0"/>
          <w:szCs w:val="21"/>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Cs w:val="21"/>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Cs w:val="21"/>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kern w:val="0"/>
          <w:szCs w:val="21"/>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Cs w:val="21"/>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Cs w:val="21"/>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Cs w:val="21"/>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Cs w:val="21"/>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Cs w:val="21"/>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Cs w:val="21"/>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Cs w:val="21"/>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258A"/>
    <w:rsid w:val="001348E4"/>
    <w:rsid w:val="0025258A"/>
    <w:rsid w:val="00271272"/>
    <w:rsid w:val="003326DC"/>
    <w:rsid w:val="00604F0B"/>
    <w:rsid w:val="00653D78"/>
    <w:rsid w:val="007A7E90"/>
    <w:rsid w:val="00A91EC0"/>
    <w:rsid w:val="00AF04DB"/>
    <w:rsid w:val="00C8636F"/>
    <w:rsid w:val="00D578E3"/>
    <w:rsid w:val="00D65351"/>
    <w:rsid w:val="02265A7D"/>
    <w:rsid w:val="03E67263"/>
    <w:rsid w:val="14F910D7"/>
    <w:rsid w:val="19956BB1"/>
    <w:rsid w:val="2C8E2169"/>
    <w:rsid w:val="3F510CCD"/>
    <w:rsid w:val="44FA6102"/>
    <w:rsid w:val="46EF1283"/>
    <w:rsid w:val="485A45FC"/>
    <w:rsid w:val="62E94CE4"/>
    <w:rsid w:val="63453933"/>
    <w:rsid w:val="634807D1"/>
    <w:rsid w:val="637D36A0"/>
    <w:rsid w:val="69193072"/>
    <w:rsid w:val="78A05E35"/>
    <w:rsid w:val="7D94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920</Words>
  <Characters>5249</Characters>
  <Lines>43</Lines>
  <Paragraphs>12</Paragraphs>
  <TotalTime>0</TotalTime>
  <ScaleCrop>false</ScaleCrop>
  <LinksUpToDate>false</LinksUpToDate>
  <CharactersWithSpaces>6157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2023-07-24T13:51:00Z</dcterms:created>
  <dc:creator>Administrator</dc:creator>
  <cp:lastModifiedBy>Administrator</cp:lastModifiedBy>
  <dcterms:modified xsi:type="dcterms:W3CDTF">2023-08-21T01:06:14Z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