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5F680">
      <w:pPr>
        <w:pStyle w:val="2"/>
        <w:widowControl/>
        <w:shd w:val="clear" w:color="auto" w:fill="FFFFFF"/>
        <w:spacing w:beforeAutospacing="0" w:afterAutospacing="0" w:line="600" w:lineRule="atLeast"/>
        <w:jc w:val="center"/>
        <w:rPr>
          <w:rFonts w:hint="default" w:ascii="Arial" w:hAnsi="Arial" w:cs="Arial"/>
          <w:color w:val="003366"/>
          <w:sz w:val="36"/>
          <w:szCs w:val="36"/>
        </w:rPr>
      </w:pPr>
      <w:r>
        <w:rPr>
          <w:rFonts w:hint="default" w:ascii="Arial" w:hAnsi="Arial" w:cs="Arial"/>
          <w:color w:val="auto"/>
          <w:sz w:val="36"/>
          <w:szCs w:val="36"/>
          <w:shd w:val="clear" w:color="auto" w:fill="FFFFFF"/>
        </w:rPr>
        <w:t>下陆区统计局2021年决算公开</w:t>
      </w:r>
    </w:p>
    <w:p w14:paraId="3E62DA03">
      <w:pPr>
        <w:widowControl/>
        <w:shd w:val="clear" w:color="auto" w:fill="FFFFFF"/>
        <w:spacing w:line="420" w:lineRule="atLeast"/>
        <w:jc w:val="center"/>
        <w:rPr>
          <w:rFonts w:ascii="Arial" w:hAnsi="Arial" w:cs="Arial"/>
          <w:color w:val="000000"/>
          <w:szCs w:val="21"/>
        </w:rPr>
      </w:pPr>
      <w:r>
        <w:rPr>
          <w:rStyle w:val="8"/>
          <w:rFonts w:ascii="Arial" w:hAnsi="Arial" w:eastAsia="宋体" w:cs="Arial"/>
          <w:color w:val="000000"/>
          <w:kern w:val="0"/>
          <w:sz w:val="24"/>
          <w:shd w:val="clear" w:color="auto" w:fill="FFFFFF"/>
        </w:rPr>
        <w:t>  目    录</w:t>
      </w:r>
      <w:r>
        <w:rPr>
          <w:rFonts w:ascii="Arial" w:hAnsi="Arial" w:eastAsia="宋体" w:cs="Arial"/>
          <w:color w:val="000000"/>
          <w:kern w:val="0"/>
          <w:szCs w:val="21"/>
          <w:shd w:val="clear" w:color="auto" w:fill="FFFFFF"/>
        </w:rPr>
        <w:br w:type="textWrapping"/>
      </w:r>
      <w:r>
        <w:rPr>
          <w:rFonts w:ascii="Arial" w:hAnsi="Arial" w:eastAsia="宋体" w:cs="Arial"/>
          <w:color w:val="000000"/>
          <w:kern w:val="0"/>
          <w:szCs w:val="21"/>
          <w:shd w:val="clear" w:color="auto" w:fill="FFFFFF"/>
        </w:rPr>
        <w:t> </w:t>
      </w:r>
    </w:p>
    <w:p w14:paraId="1576331F">
      <w:pPr>
        <w:widowControl/>
        <w:shd w:val="clear" w:color="auto" w:fill="FFFFFF"/>
        <w:spacing w:before="300" w:line="420" w:lineRule="atLeast"/>
        <w:jc w:val="left"/>
        <w:rPr>
          <w:rFonts w:ascii="Arial" w:hAnsi="Arial" w:cs="Arial"/>
          <w:color w:val="000000"/>
          <w:szCs w:val="21"/>
        </w:rPr>
      </w:pPr>
      <w:r>
        <w:rPr>
          <w:rFonts w:ascii="Arial" w:hAnsi="Arial" w:eastAsia="宋体" w:cs="Arial"/>
          <w:color w:val="000000"/>
          <w:kern w:val="0"/>
          <w:szCs w:val="21"/>
          <w:shd w:val="clear" w:color="auto" w:fill="FFFFFF"/>
        </w:rPr>
        <w:br w:type="textWrapping"/>
      </w:r>
      <w:r>
        <w:rPr>
          <w:rStyle w:val="8"/>
          <w:rFonts w:ascii="Arial" w:hAnsi="Arial" w:eastAsia="宋体" w:cs="Arial"/>
          <w:color w:val="000000"/>
          <w:kern w:val="0"/>
          <w:sz w:val="24"/>
          <w:shd w:val="clear" w:color="auto" w:fill="FFFFFF"/>
        </w:rPr>
        <w:t>第一部分:部门基本情况</w:t>
      </w:r>
      <w:r>
        <w:rPr>
          <w:rStyle w:val="8"/>
          <w:rFonts w:ascii="Arial" w:hAnsi="Arial" w:eastAsia="宋体" w:cs="Arial"/>
          <w:color w:val="000000"/>
          <w:kern w:val="0"/>
          <w:sz w:val="24"/>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一、部门主要职责</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二、部门机构设置情况</w:t>
      </w:r>
      <w:r>
        <w:rPr>
          <w:rStyle w:val="8"/>
          <w:rFonts w:ascii="Arial" w:hAnsi="Arial" w:eastAsia="宋体" w:cs="Arial"/>
          <w:b w:val="0"/>
          <w:bCs/>
          <w:color w:val="000000"/>
          <w:kern w:val="0"/>
          <w:sz w:val="24"/>
          <w:shd w:val="clear" w:color="auto" w:fill="FFFFFF"/>
        </w:rPr>
        <w:br w:type="textWrapping"/>
      </w:r>
      <w:r>
        <w:rPr>
          <w:rStyle w:val="8"/>
          <w:rFonts w:ascii="Arial" w:hAnsi="Arial" w:eastAsia="宋体" w:cs="Arial"/>
          <w:color w:val="000000"/>
          <w:kern w:val="0"/>
          <w:sz w:val="24"/>
          <w:shd w:val="clear" w:color="auto" w:fill="FFFFFF"/>
        </w:rPr>
        <w:t>第二部分: 部门2021年部门决算表</w:t>
      </w:r>
      <w:r>
        <w:rPr>
          <w:rStyle w:val="8"/>
          <w:rFonts w:ascii="Arial" w:hAnsi="Arial" w:eastAsia="宋体" w:cs="Arial"/>
          <w:color w:val="000000"/>
          <w:kern w:val="0"/>
          <w:sz w:val="24"/>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一、收入支出决算总表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二、收入决算表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三、支出决算表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四、财政拨款收入支出决算总表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五、一般公共预算财政拨款支出决算表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六、一般公共预算财政拨款基本支出决算表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七、一般公共预算财政拨款“三公”经费支出决算表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八、政府性基金预算财政拨款收入支出决算表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九、国有资本经营预算财政拨款支出决算表</w:t>
      </w:r>
      <w:r>
        <w:rPr>
          <w:rStyle w:val="8"/>
          <w:rFonts w:hint="eastAsia" w:ascii="宋体" w:hAnsi="宋体" w:eastAsia="宋体" w:cs="宋体"/>
          <w:b w:val="0"/>
          <w:bCs/>
          <w:color w:val="000000"/>
          <w:kern w:val="0"/>
          <w:sz w:val="28"/>
          <w:szCs w:val="28"/>
          <w:shd w:val="clear" w:color="auto" w:fill="FFFFFF"/>
        </w:rPr>
        <w:br w:type="textWrapping"/>
      </w:r>
      <w:r>
        <w:rPr>
          <w:rStyle w:val="8"/>
          <w:rFonts w:ascii="Arial" w:hAnsi="Arial" w:eastAsia="宋体" w:cs="Arial"/>
          <w:color w:val="000000"/>
          <w:kern w:val="0"/>
          <w:sz w:val="24"/>
          <w:shd w:val="clear" w:color="auto" w:fill="FFFFFF"/>
        </w:rPr>
        <w:t>第三部分：部门2021年部门决算情况说明</w:t>
      </w:r>
      <w:r>
        <w:rPr>
          <w:rStyle w:val="8"/>
          <w:rFonts w:ascii="Arial" w:hAnsi="Arial" w:eastAsia="宋体" w:cs="Arial"/>
          <w:color w:val="000000"/>
          <w:kern w:val="0"/>
          <w:sz w:val="24"/>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一、收支总体情况说明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二、决算收入支出增减变化情况说明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三、财政拨款收入支出决算情况说明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四、一般公共预算财政拨款支出决算情况说明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五、一般公共预算财政拨款基本支出决算情况说明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六、一般公共预算财政拨款“三公”经费支出决算情况说明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七、机关运行费执行情况说明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八、政府采购支出情况说明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九、国有资产占用情况说明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十、其他情况</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十一、预算绩效情况说明</w:t>
      </w:r>
      <w:r>
        <w:rPr>
          <w:rStyle w:val="8"/>
          <w:rFonts w:hint="eastAsia" w:ascii="宋体" w:hAnsi="宋体" w:eastAsia="宋体" w:cs="宋体"/>
          <w:b w:val="0"/>
          <w:bCs/>
          <w:color w:val="000000"/>
          <w:kern w:val="0"/>
          <w:sz w:val="28"/>
          <w:szCs w:val="28"/>
          <w:shd w:val="clear" w:color="auto" w:fill="FFFFFF"/>
        </w:rPr>
        <w:br w:type="textWrapping"/>
      </w:r>
      <w:r>
        <w:rPr>
          <w:rStyle w:val="8"/>
          <w:rFonts w:ascii="Arial" w:hAnsi="Arial" w:eastAsia="宋体" w:cs="Arial"/>
          <w:color w:val="000000"/>
          <w:kern w:val="0"/>
          <w:sz w:val="24"/>
          <w:shd w:val="clear" w:color="auto" w:fill="FFFFFF"/>
        </w:rPr>
        <w:t>第四部分、名词解释</w:t>
      </w:r>
    </w:p>
    <w:p w14:paraId="40749559">
      <w:pPr>
        <w:widowControl/>
        <w:shd w:val="clear" w:color="auto" w:fill="FFFFFF"/>
        <w:spacing w:line="420" w:lineRule="atLeast"/>
        <w:jc w:val="center"/>
        <w:rPr>
          <w:rFonts w:hint="eastAsia" w:ascii="Arial" w:hAnsi="Arial" w:eastAsia="宋体" w:cs="Arial"/>
          <w:color w:val="000000"/>
          <w:szCs w:val="21"/>
          <w:lang w:eastAsia="zh-CN"/>
        </w:rPr>
      </w:pPr>
      <w:r>
        <w:rPr>
          <w:rStyle w:val="8"/>
          <w:rFonts w:ascii="Arial" w:hAnsi="Arial" w:eastAsia="宋体" w:cs="Arial"/>
          <w:color w:val="000000"/>
          <w:kern w:val="0"/>
          <w:sz w:val="24"/>
          <w:shd w:val="clear" w:color="auto" w:fill="FFFFFF"/>
        </w:rPr>
        <w:t>黄石市下陆区统计局2021年度部门决算</w:t>
      </w:r>
      <w:r>
        <w:rPr>
          <w:rStyle w:val="8"/>
          <w:rFonts w:hint="eastAsia" w:ascii="Arial" w:hAnsi="Arial" w:eastAsia="宋体" w:cs="Arial"/>
          <w:color w:val="000000"/>
          <w:kern w:val="0"/>
          <w:sz w:val="24"/>
          <w:shd w:val="clear" w:color="auto" w:fill="FFFFFF"/>
          <w:lang w:eastAsia="zh-CN"/>
        </w:rPr>
        <w:t>公开</w:t>
      </w:r>
    </w:p>
    <w:p w14:paraId="603B399F">
      <w:pPr>
        <w:widowControl/>
        <w:spacing w:before="300"/>
        <w:jc w:val="left"/>
        <w:rPr>
          <w:rStyle w:val="8"/>
          <w:rFonts w:ascii="Arial" w:hAnsi="Arial" w:eastAsia="宋体" w:cs="Arial"/>
          <w:color w:val="000000"/>
          <w:kern w:val="0"/>
          <w:sz w:val="24"/>
          <w:shd w:val="clear" w:color="auto" w:fill="FFFFFF"/>
        </w:rPr>
      </w:pPr>
      <w:r>
        <w:rPr>
          <w:rFonts w:ascii="Arial" w:hAnsi="Arial" w:eastAsia="宋体" w:cs="Arial"/>
          <w:color w:val="000000"/>
          <w:kern w:val="0"/>
          <w:szCs w:val="21"/>
          <w:shd w:val="clear" w:color="auto" w:fill="FFFFFF"/>
        </w:rPr>
        <w:br w:type="textWrapping"/>
      </w:r>
      <w:r>
        <w:rPr>
          <w:rStyle w:val="8"/>
          <w:rFonts w:ascii="Arial" w:hAnsi="Arial" w:eastAsia="宋体" w:cs="Arial"/>
          <w:color w:val="000000"/>
          <w:kern w:val="0"/>
          <w:sz w:val="24"/>
          <w:shd w:val="clear" w:color="auto" w:fill="FFFFFF"/>
        </w:rPr>
        <w:t>第一部分:部门基本情况</w:t>
      </w:r>
      <w:r>
        <w:rPr>
          <w:rStyle w:val="8"/>
          <w:rFonts w:ascii="Arial" w:hAnsi="Arial" w:eastAsia="宋体" w:cs="Arial"/>
          <w:color w:val="000000"/>
          <w:kern w:val="0"/>
          <w:sz w:val="24"/>
          <w:shd w:val="clear" w:color="auto" w:fill="FFFFFF"/>
        </w:rPr>
        <w:br w:type="textWrapping"/>
      </w:r>
      <w:r>
        <w:rPr>
          <w:rStyle w:val="8"/>
          <w:rFonts w:ascii="Arial" w:hAnsi="Arial" w:eastAsia="宋体" w:cs="Arial"/>
          <w:color w:val="000000"/>
          <w:kern w:val="0"/>
          <w:sz w:val="24"/>
          <w:shd w:val="clear" w:color="auto" w:fill="FFFFFF"/>
        </w:rPr>
        <w:t>一、部门主要职责</w:t>
      </w:r>
      <w:r>
        <w:rPr>
          <w:rStyle w:val="8"/>
          <w:rFonts w:ascii="Arial" w:hAnsi="Arial" w:eastAsia="宋体" w:cs="Arial"/>
          <w:color w:val="000000"/>
          <w:kern w:val="0"/>
          <w:sz w:val="24"/>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(一）按照国家、省、市的统计法律、法规和规划，组织领导和协调全区统计工作，指导全区统计工作，确保统计数据的真实、准确、及时。</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（二）按照国家、省、市建立的国民经济核算体系、统计指标体系和统一的基本统计报表制度，统一组织管理全区统计报表工作。</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（三）会同有关部门组织实施全区人口、经济、农业等重大国情国力</w:t>
      </w:r>
      <w:r>
        <w:rPr>
          <w:rStyle w:val="8"/>
          <w:rFonts w:hint="eastAsia" w:ascii="宋体" w:hAnsi="宋体" w:eastAsia="宋体" w:cs="宋体"/>
          <w:b w:val="0"/>
          <w:bCs/>
          <w:color w:val="000000"/>
          <w:kern w:val="0"/>
          <w:sz w:val="28"/>
          <w:szCs w:val="28"/>
          <w:shd w:val="clear" w:color="auto" w:fill="FFFFFF"/>
          <w:lang w:eastAsia="zh-CN"/>
        </w:rPr>
        <w:t>普查，汇总、整理和提供全区有关国情国力</w:t>
      </w:r>
      <w:r>
        <w:rPr>
          <w:rStyle w:val="8"/>
          <w:rFonts w:hint="eastAsia" w:ascii="宋体" w:hAnsi="宋体" w:eastAsia="宋体" w:cs="宋体"/>
          <w:b w:val="0"/>
          <w:bCs/>
          <w:color w:val="000000"/>
          <w:kern w:val="0"/>
          <w:sz w:val="28"/>
          <w:szCs w:val="28"/>
          <w:shd w:val="clear" w:color="auto" w:fill="FFFFFF"/>
        </w:rPr>
        <w:t>方面的统计数据。组织、协调全区城市、农村社会经济的各项典型调查和抽样调查。</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（四）组织实施全区农业牧渔业、工业、建筑业、批发和零售业、住宿和餐饮业、房地产业、居民服务和其他服务业、娱乐业等统计调查，收集、汇总、整理和提供有关调查的统计数据。</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（五）组织实施全区能源、投</w:t>
      </w:r>
      <w:r>
        <w:rPr>
          <w:rStyle w:val="8"/>
          <w:rFonts w:hint="eastAsia" w:ascii="宋体" w:hAnsi="宋体" w:eastAsia="宋体" w:cs="宋体"/>
          <w:b w:val="0"/>
          <w:bCs/>
          <w:color w:val="000000"/>
          <w:kern w:val="0"/>
          <w:sz w:val="28"/>
          <w:szCs w:val="28"/>
          <w:shd w:val="clear" w:color="auto" w:fill="FFFFFF"/>
          <w:lang w:eastAsia="zh-CN"/>
        </w:rPr>
        <w:t>资</w:t>
      </w:r>
      <w:r>
        <w:rPr>
          <w:rStyle w:val="8"/>
          <w:rFonts w:hint="eastAsia" w:ascii="宋体" w:hAnsi="宋体" w:eastAsia="宋体" w:cs="宋体"/>
          <w:b w:val="0"/>
          <w:bCs/>
          <w:color w:val="000000"/>
          <w:kern w:val="0"/>
          <w:sz w:val="28"/>
          <w:szCs w:val="28"/>
          <w:shd w:val="clear" w:color="auto" w:fill="FFFFFF"/>
        </w:rPr>
        <w:t>、消费、收入、科技、人口、劳动力、社会发展基本情况、资源等统计调查，收集、汇总、整理和提供有关调查的统计数据，综合整理和提供资源、房屋、对外贸易、对外经济等全区性基本统计数据。</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六）搜集、整理、提供全区性的基本统计资料，对全区国民经济、社会发展等情况进行统计分析、统计预测和统计监督；向区委、区政府及有关部门提供统计信息和咨询建议；审定、管理、公布全区性的基本统计资料，定期发布全区国民经济、社会发展情况的统计公报。</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（七）建立健全并管理全区统计信息自动化系统和统计数据库，建立和维护基本单位名录库，贯彻执行国家制定的统计数据库和网络的基本标准和运行规则。</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（八）组织指导全区统计系统干部、“四上”企业统计员的专业理论知识教育和业务培训。</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（九）组织、指导全区统计基层组织建设和统计基础工作，建立健全统计工作网络，不断推进统计工作标准化、规范化。</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（十）按照省、市和区委、区政府的要求，协助开展经济效益、政府工作量质化等经济和社会目标考核。</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（十一）完成上级交办的其他任务。</w:t>
      </w:r>
      <w:r>
        <w:rPr>
          <w:rStyle w:val="8"/>
          <w:rFonts w:hint="eastAsia" w:ascii="宋体" w:hAnsi="宋体" w:eastAsia="宋体" w:cs="宋体"/>
          <w:b w:val="0"/>
          <w:bCs/>
          <w:color w:val="000000"/>
          <w:kern w:val="0"/>
          <w:sz w:val="28"/>
          <w:szCs w:val="28"/>
          <w:shd w:val="clear" w:color="auto" w:fill="FFFFFF"/>
        </w:rPr>
        <w:br w:type="textWrapping"/>
      </w:r>
      <w:r>
        <w:rPr>
          <w:rStyle w:val="8"/>
          <w:rFonts w:ascii="Arial" w:hAnsi="Arial" w:eastAsia="宋体" w:cs="Arial"/>
          <w:color w:val="000000"/>
          <w:kern w:val="0"/>
          <w:sz w:val="24"/>
          <w:shd w:val="clear" w:color="auto" w:fill="FFFFFF"/>
        </w:rPr>
        <w:t>二、部门机构设置情况</w:t>
      </w:r>
      <w:r>
        <w:rPr>
          <w:rStyle w:val="8"/>
          <w:rFonts w:ascii="Arial" w:hAnsi="Arial" w:eastAsia="宋体" w:cs="Arial"/>
          <w:color w:val="000000"/>
          <w:kern w:val="0"/>
          <w:sz w:val="24"/>
          <w:shd w:val="clear" w:color="auto" w:fill="FFFFFF"/>
        </w:rPr>
        <w:br w:type="textWrapping"/>
      </w:r>
      <w:r>
        <w:rPr>
          <w:rStyle w:val="8"/>
          <w:rFonts w:hint="eastAsia" w:ascii="宋体" w:hAnsi="宋体" w:eastAsia="宋体" w:cs="宋体"/>
          <w:b w:val="0"/>
          <w:bCs/>
          <w:color w:val="000000"/>
          <w:kern w:val="0"/>
          <w:sz w:val="28"/>
          <w:szCs w:val="28"/>
          <w:shd w:val="clear" w:color="auto" w:fill="FFFFFF"/>
        </w:rPr>
        <w:t>1、机构设置情况：下陆区统计局只归口管理本级部门。</w:t>
      </w:r>
      <w:r>
        <w:rPr>
          <w:rFonts w:hint="eastAsia" w:ascii="宋体" w:hAnsi="宋体" w:eastAsia="宋体" w:cs="宋体"/>
          <w:b w:val="0"/>
          <w:bCs/>
          <w:color w:val="000000"/>
          <w:kern w:val="0"/>
          <w:sz w:val="28"/>
          <w:szCs w:val="28"/>
          <w:shd w:val="clear" w:color="auto" w:fill="FFFFFF"/>
        </w:rPr>
        <w:t>本单位内设置办公室、综合科</w:t>
      </w:r>
      <w:r>
        <w:rPr>
          <w:rStyle w:val="8"/>
          <w:rFonts w:hint="eastAsia" w:ascii="宋体" w:hAnsi="宋体" w:eastAsia="宋体" w:cs="宋体"/>
          <w:b w:val="0"/>
          <w:bCs/>
          <w:color w:val="000000"/>
          <w:kern w:val="0"/>
          <w:sz w:val="28"/>
          <w:szCs w:val="28"/>
          <w:shd w:val="clear" w:color="auto" w:fill="FFFFFF"/>
        </w:rPr>
        <w:t>、</w:t>
      </w:r>
      <w:r>
        <w:rPr>
          <w:rStyle w:val="8"/>
          <w:rFonts w:hint="eastAsia" w:ascii="宋体" w:hAnsi="宋体" w:eastAsia="宋体" w:cs="宋体"/>
          <w:b w:val="0"/>
          <w:bCs/>
          <w:color w:val="000000"/>
          <w:kern w:val="0"/>
          <w:sz w:val="28"/>
          <w:szCs w:val="28"/>
          <w:shd w:val="clear" w:color="auto" w:fill="FFFFFF"/>
          <w:lang w:eastAsia="zh-CN"/>
        </w:rPr>
        <w:t>工业科、贸易科、</w:t>
      </w:r>
      <w:r>
        <w:rPr>
          <w:rStyle w:val="8"/>
          <w:rFonts w:hint="eastAsia" w:ascii="宋体" w:hAnsi="宋体" w:eastAsia="宋体" w:cs="宋体"/>
          <w:b w:val="0"/>
          <w:bCs/>
          <w:color w:val="000000"/>
          <w:kern w:val="0"/>
          <w:sz w:val="28"/>
          <w:szCs w:val="28"/>
          <w:shd w:val="clear" w:color="auto" w:fill="FFFFFF"/>
          <w:lang w:val="en-US" w:eastAsia="zh-CN"/>
        </w:rPr>
        <w:t>投资科</w:t>
      </w:r>
      <w:r>
        <w:rPr>
          <w:rStyle w:val="8"/>
          <w:rFonts w:hint="eastAsia" w:ascii="宋体" w:hAnsi="宋体" w:eastAsia="宋体" w:cs="宋体"/>
          <w:b w:val="0"/>
          <w:bCs/>
          <w:color w:val="000000"/>
          <w:kern w:val="0"/>
          <w:sz w:val="28"/>
          <w:szCs w:val="28"/>
          <w:shd w:val="clear" w:color="auto" w:fill="FFFFFF"/>
          <w:lang w:eastAsia="zh-CN"/>
        </w:rPr>
        <w:t>、服务业科、数管中心</w:t>
      </w:r>
      <w:r>
        <w:rPr>
          <w:rStyle w:val="8"/>
          <w:rFonts w:hint="eastAsia" w:ascii="宋体" w:hAnsi="宋体" w:eastAsia="宋体" w:cs="宋体"/>
          <w:b w:val="0"/>
          <w:bCs/>
          <w:color w:val="000000"/>
          <w:kern w:val="0"/>
          <w:sz w:val="28"/>
          <w:szCs w:val="28"/>
          <w:shd w:val="clear" w:color="auto" w:fill="FFFFFF"/>
        </w:rPr>
        <w:t>等内设科室。</w:t>
      </w:r>
      <w:r>
        <w:rPr>
          <w:rStyle w:val="8"/>
          <w:rFonts w:hint="eastAsia" w:ascii="宋体" w:hAnsi="宋体" w:eastAsia="宋体" w:cs="宋体"/>
          <w:b w:val="0"/>
          <w:bCs/>
          <w:color w:val="000000"/>
          <w:kern w:val="0"/>
          <w:sz w:val="28"/>
          <w:szCs w:val="28"/>
          <w:shd w:val="clear" w:color="auto" w:fill="FFFFFF"/>
        </w:rPr>
        <w:br w:type="textWrapping"/>
      </w:r>
      <w:r>
        <w:rPr>
          <w:rStyle w:val="8"/>
          <w:rFonts w:hint="eastAsia" w:ascii="宋体" w:hAnsi="宋体" w:eastAsia="宋体" w:cs="宋体"/>
          <w:b w:val="0"/>
          <w:bCs/>
          <w:color w:val="000000"/>
          <w:kern w:val="0"/>
          <w:sz w:val="28"/>
          <w:szCs w:val="28"/>
          <w:shd w:val="clear" w:color="auto" w:fill="FFFFFF"/>
        </w:rPr>
        <w:t>2、编制情况：下陆区统计局核定编制数为3名，其中行政编3名，事业编制0名。2021年年末在职在编人员3人，</w:t>
      </w:r>
      <w:r>
        <w:rPr>
          <w:rStyle w:val="8"/>
          <w:rFonts w:hint="eastAsia" w:ascii="宋体" w:hAnsi="宋体" w:eastAsia="宋体" w:cs="宋体"/>
          <w:b w:val="0"/>
          <w:bCs/>
          <w:color w:val="000000"/>
          <w:kern w:val="0"/>
          <w:sz w:val="28"/>
          <w:szCs w:val="28"/>
          <w:shd w:val="clear" w:color="auto" w:fill="FFFFFF"/>
          <w:lang w:eastAsia="zh-CN"/>
        </w:rPr>
        <w:t>单位长</w:t>
      </w:r>
      <w:r>
        <w:rPr>
          <w:rStyle w:val="8"/>
          <w:rFonts w:hint="eastAsia" w:ascii="宋体" w:hAnsi="宋体" w:eastAsia="宋体" w:cs="宋体"/>
          <w:b w:val="0"/>
          <w:bCs/>
          <w:color w:val="000000"/>
          <w:kern w:val="0"/>
          <w:sz w:val="28"/>
          <w:szCs w:val="28"/>
          <w:shd w:val="clear" w:color="auto" w:fill="FFFFFF"/>
        </w:rPr>
        <w:t>聘3人，退伍安置0人，政府雇员5人，退休人员0人（已全部转入机关事业单位养老保险发放养老金）。</w:t>
      </w:r>
      <w:r>
        <w:rPr>
          <w:rStyle w:val="8"/>
          <w:rFonts w:hint="eastAsia" w:ascii="宋体" w:hAnsi="宋体" w:eastAsia="宋体" w:cs="宋体"/>
          <w:b w:val="0"/>
          <w:bCs/>
          <w:color w:val="000000"/>
          <w:kern w:val="0"/>
          <w:sz w:val="28"/>
          <w:szCs w:val="28"/>
          <w:shd w:val="clear" w:color="auto" w:fill="FFFFFF"/>
        </w:rPr>
        <w:br w:type="textWrapping"/>
      </w:r>
      <w:r>
        <w:rPr>
          <w:rStyle w:val="8"/>
          <w:rFonts w:ascii="Arial" w:hAnsi="Arial" w:eastAsia="宋体" w:cs="Arial"/>
          <w:color w:val="000000"/>
          <w:kern w:val="0"/>
          <w:sz w:val="24"/>
          <w:shd w:val="clear" w:color="auto" w:fill="FFFFFF"/>
        </w:rPr>
        <w:t>第二部分: 部门2021年部门决算表</w:t>
      </w:r>
    </w:p>
    <w:p w14:paraId="1DE84863">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6569710"/>
            <wp:effectExtent l="0" t="0" r="12065" b="254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5760085" cy="6569710"/>
                    </a:xfrm>
                    <a:prstGeom prst="rect">
                      <a:avLst/>
                    </a:prstGeom>
                    <a:noFill/>
                    <a:ln w="9525">
                      <a:noFill/>
                    </a:ln>
                  </pic:spPr>
                </pic:pic>
              </a:graphicData>
            </a:graphic>
          </wp:inline>
        </w:drawing>
      </w:r>
    </w:p>
    <w:p w14:paraId="5675DA14">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2289810"/>
            <wp:effectExtent l="0" t="0" r="12065" b="1524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5"/>
                    <a:stretch>
                      <a:fillRect/>
                    </a:stretch>
                  </pic:blipFill>
                  <pic:spPr>
                    <a:xfrm>
                      <a:off x="0" y="0"/>
                      <a:ext cx="5760085" cy="2289810"/>
                    </a:xfrm>
                    <a:prstGeom prst="rect">
                      <a:avLst/>
                    </a:prstGeom>
                    <a:noFill/>
                    <a:ln w="9525">
                      <a:noFill/>
                    </a:ln>
                  </pic:spPr>
                </pic:pic>
              </a:graphicData>
            </a:graphic>
          </wp:inline>
        </w:drawing>
      </w:r>
    </w:p>
    <w:p w14:paraId="001271C2">
      <w:pPr>
        <w:keepNext w:val="0"/>
        <w:keepLines w:val="0"/>
        <w:widowControl/>
        <w:suppressLineNumbers w:val="0"/>
        <w:jc w:val="left"/>
      </w:pPr>
      <w:r>
        <w:rPr>
          <w:rFonts w:hint="eastAsia"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2408555"/>
            <wp:effectExtent l="0" t="0" r="12065" b="10795"/>
            <wp:docPr id="9"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IMG_256"/>
                    <pic:cNvPicPr>
                      <a:picLocks noChangeAspect="1"/>
                    </pic:cNvPicPr>
                  </pic:nvPicPr>
                  <pic:blipFill>
                    <a:blip r:embed="rId6"/>
                    <a:stretch>
                      <a:fillRect/>
                    </a:stretch>
                  </pic:blipFill>
                  <pic:spPr>
                    <a:xfrm>
                      <a:off x="0" y="0"/>
                      <a:ext cx="5760085" cy="2408555"/>
                    </a:xfrm>
                    <a:prstGeom prst="rect">
                      <a:avLst/>
                    </a:prstGeom>
                    <a:noFill/>
                    <a:ln w="9525">
                      <a:noFill/>
                    </a:ln>
                  </pic:spPr>
                </pic:pic>
              </a:graphicData>
            </a:graphic>
          </wp:inline>
        </w:drawing>
      </w:r>
    </w:p>
    <w:p w14:paraId="0ED28E0E">
      <w:pPr>
        <w:keepNext w:val="0"/>
        <w:keepLines w:val="0"/>
        <w:widowControl/>
        <w:suppressLineNumbers w:val="0"/>
        <w:jc w:val="left"/>
      </w:pPr>
      <w:r>
        <w:rPr>
          <w:rStyle w:val="8"/>
          <w:rFonts w:hint="default"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5669915"/>
            <wp:effectExtent l="0" t="0" r="12065" b="6985"/>
            <wp:docPr id="10"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56"/>
                    <pic:cNvPicPr>
                      <a:picLocks noChangeAspect="1"/>
                    </pic:cNvPicPr>
                  </pic:nvPicPr>
                  <pic:blipFill>
                    <a:blip r:embed="rId7"/>
                    <a:stretch>
                      <a:fillRect/>
                    </a:stretch>
                  </pic:blipFill>
                  <pic:spPr>
                    <a:xfrm>
                      <a:off x="0" y="0"/>
                      <a:ext cx="5760085" cy="5669915"/>
                    </a:xfrm>
                    <a:prstGeom prst="rect">
                      <a:avLst/>
                    </a:prstGeom>
                    <a:noFill/>
                    <a:ln w="9525">
                      <a:noFill/>
                    </a:ln>
                  </pic:spPr>
                </pic:pic>
              </a:graphicData>
            </a:graphic>
          </wp:inline>
        </w:drawing>
      </w:r>
    </w:p>
    <w:p w14:paraId="4A18814F">
      <w:pPr>
        <w:keepNext w:val="0"/>
        <w:keepLines w:val="0"/>
        <w:widowControl/>
        <w:suppressLineNumbers w:val="0"/>
        <w:jc w:val="left"/>
      </w:pPr>
      <w:r>
        <w:rPr>
          <w:rStyle w:val="8"/>
          <w:rFonts w:hint="default"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2336165"/>
            <wp:effectExtent l="0" t="0" r="12065" b="6985"/>
            <wp:docPr id="11"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56"/>
                    <pic:cNvPicPr>
                      <a:picLocks noChangeAspect="1"/>
                    </pic:cNvPicPr>
                  </pic:nvPicPr>
                  <pic:blipFill>
                    <a:blip r:embed="rId8"/>
                    <a:stretch>
                      <a:fillRect/>
                    </a:stretch>
                  </pic:blipFill>
                  <pic:spPr>
                    <a:xfrm>
                      <a:off x="0" y="0"/>
                      <a:ext cx="5760085" cy="2336165"/>
                    </a:xfrm>
                    <a:prstGeom prst="rect">
                      <a:avLst/>
                    </a:prstGeom>
                    <a:noFill/>
                    <a:ln w="9525">
                      <a:noFill/>
                    </a:ln>
                  </pic:spPr>
                </pic:pic>
              </a:graphicData>
            </a:graphic>
          </wp:inline>
        </w:drawing>
      </w:r>
    </w:p>
    <w:p w14:paraId="0961BCBC">
      <w:pPr>
        <w:widowControl/>
        <w:spacing w:before="300"/>
        <w:jc w:val="left"/>
        <w:rPr>
          <w:rStyle w:val="8"/>
          <w:rFonts w:hint="default" w:ascii="Arial" w:hAnsi="Arial" w:eastAsia="宋体" w:cs="Arial"/>
          <w:i w:val="0"/>
          <w:caps w:val="0"/>
          <w:color w:val="000000"/>
          <w:spacing w:val="0"/>
          <w:sz w:val="27"/>
          <w:szCs w:val="27"/>
          <w:shd w:val="clear" w:fill="FFFFFF"/>
        </w:rPr>
      </w:pPr>
    </w:p>
    <w:p w14:paraId="5E3031FC">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760085" cy="4348480"/>
            <wp:effectExtent l="0" t="0" r="12065" b="13970"/>
            <wp:docPr id="1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56"/>
                    <pic:cNvPicPr>
                      <a:picLocks noChangeAspect="1"/>
                    </pic:cNvPicPr>
                  </pic:nvPicPr>
                  <pic:blipFill>
                    <a:blip r:embed="rId9"/>
                    <a:stretch>
                      <a:fillRect/>
                    </a:stretch>
                  </pic:blipFill>
                  <pic:spPr>
                    <a:xfrm>
                      <a:off x="0" y="0"/>
                      <a:ext cx="5760085" cy="4348480"/>
                    </a:xfrm>
                    <a:prstGeom prst="rect">
                      <a:avLst/>
                    </a:prstGeom>
                    <a:noFill/>
                    <a:ln w="9525">
                      <a:noFill/>
                    </a:ln>
                  </pic:spPr>
                </pic:pic>
              </a:graphicData>
            </a:graphic>
          </wp:inline>
        </w:drawing>
      </w:r>
    </w:p>
    <w:p w14:paraId="0F35BBEC">
      <w:pPr>
        <w:keepNext w:val="0"/>
        <w:keepLines w:val="0"/>
        <w:widowControl/>
        <w:suppressLineNumbers w:val="0"/>
        <w:jc w:val="left"/>
      </w:pPr>
      <w:r>
        <w:rPr>
          <w:rStyle w:val="8"/>
          <w:rFonts w:hint="default"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1677670"/>
            <wp:effectExtent l="0" t="0" r="12065" b="17780"/>
            <wp:docPr id="1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IMG_256"/>
                    <pic:cNvPicPr>
                      <a:picLocks noChangeAspect="1"/>
                    </pic:cNvPicPr>
                  </pic:nvPicPr>
                  <pic:blipFill>
                    <a:blip r:embed="rId10"/>
                    <a:stretch>
                      <a:fillRect/>
                    </a:stretch>
                  </pic:blipFill>
                  <pic:spPr>
                    <a:xfrm>
                      <a:off x="0" y="0"/>
                      <a:ext cx="5760085" cy="1677670"/>
                    </a:xfrm>
                    <a:prstGeom prst="rect">
                      <a:avLst/>
                    </a:prstGeom>
                    <a:noFill/>
                    <a:ln w="9525">
                      <a:noFill/>
                    </a:ln>
                  </pic:spPr>
                </pic:pic>
              </a:graphicData>
            </a:graphic>
          </wp:inline>
        </w:drawing>
      </w:r>
    </w:p>
    <w:p w14:paraId="3115522F">
      <w:pPr>
        <w:keepNext w:val="0"/>
        <w:keepLines w:val="0"/>
        <w:widowControl/>
        <w:suppressLineNumbers w:val="0"/>
        <w:jc w:val="left"/>
      </w:pPr>
      <w:r>
        <w:rPr>
          <w:rStyle w:val="8"/>
          <w:rFonts w:hint="default"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1958340"/>
            <wp:effectExtent l="0" t="0" r="12065" b="3810"/>
            <wp:docPr id="14"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IMG_256"/>
                    <pic:cNvPicPr>
                      <a:picLocks noChangeAspect="1"/>
                    </pic:cNvPicPr>
                  </pic:nvPicPr>
                  <pic:blipFill>
                    <a:blip r:embed="rId11"/>
                    <a:stretch>
                      <a:fillRect/>
                    </a:stretch>
                  </pic:blipFill>
                  <pic:spPr>
                    <a:xfrm>
                      <a:off x="0" y="0"/>
                      <a:ext cx="5760085" cy="1958340"/>
                    </a:xfrm>
                    <a:prstGeom prst="rect">
                      <a:avLst/>
                    </a:prstGeom>
                    <a:noFill/>
                    <a:ln w="9525">
                      <a:noFill/>
                    </a:ln>
                  </pic:spPr>
                </pic:pic>
              </a:graphicData>
            </a:graphic>
          </wp:inline>
        </w:drawing>
      </w:r>
    </w:p>
    <w:p w14:paraId="253D92D3">
      <w:pPr>
        <w:keepNext w:val="0"/>
        <w:keepLines w:val="0"/>
        <w:widowControl/>
        <w:suppressLineNumbers w:val="0"/>
        <w:jc w:val="left"/>
      </w:pPr>
      <w:r>
        <w:rPr>
          <w:rStyle w:val="8"/>
          <w:rFonts w:hint="default" w:ascii="Arial" w:hAnsi="Arial" w:eastAsia="宋体" w:cs="Arial"/>
          <w:i w:val="0"/>
          <w:caps w:val="0"/>
          <w:color w:val="000000"/>
          <w:spacing w:val="0"/>
          <w:sz w:val="27"/>
          <w:szCs w:val="27"/>
          <w:shd w:val="clear" w:fill="FFFFFF"/>
        </w:rPr>
        <w:br w:type="textWrapping"/>
      </w:r>
      <w:r>
        <w:rPr>
          <w:rFonts w:ascii="宋体" w:hAnsi="宋体" w:eastAsia="宋体" w:cs="宋体"/>
          <w:kern w:val="0"/>
          <w:sz w:val="24"/>
          <w:szCs w:val="24"/>
          <w:lang w:val="en-US" w:eastAsia="zh-CN" w:bidi="ar"/>
        </w:rPr>
        <w:drawing>
          <wp:inline distT="0" distB="0" distL="114300" distR="114300">
            <wp:extent cx="5760085" cy="2077085"/>
            <wp:effectExtent l="0" t="0" r="12065" b="18415"/>
            <wp:docPr id="15"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IMG_256"/>
                    <pic:cNvPicPr>
                      <a:picLocks noChangeAspect="1"/>
                    </pic:cNvPicPr>
                  </pic:nvPicPr>
                  <pic:blipFill>
                    <a:blip r:embed="rId12"/>
                    <a:stretch>
                      <a:fillRect/>
                    </a:stretch>
                  </pic:blipFill>
                  <pic:spPr>
                    <a:xfrm>
                      <a:off x="0" y="0"/>
                      <a:ext cx="5760085" cy="2077085"/>
                    </a:xfrm>
                    <a:prstGeom prst="rect">
                      <a:avLst/>
                    </a:prstGeom>
                    <a:noFill/>
                    <a:ln w="9525">
                      <a:noFill/>
                    </a:ln>
                  </pic:spPr>
                </pic:pic>
              </a:graphicData>
            </a:graphic>
          </wp:inline>
        </w:drawing>
      </w:r>
    </w:p>
    <w:p w14:paraId="5C19B1E6">
      <w:pPr>
        <w:widowControl/>
        <w:spacing w:before="300"/>
        <w:jc w:val="left"/>
        <w:rPr>
          <w:rStyle w:val="8"/>
          <w:rFonts w:hint="default" w:ascii="Arial" w:hAnsi="Arial" w:eastAsia="宋体" w:cs="Arial"/>
          <w:i w:val="0"/>
          <w:caps w:val="0"/>
          <w:color w:val="000000"/>
          <w:spacing w:val="0"/>
          <w:sz w:val="27"/>
          <w:szCs w:val="27"/>
          <w:shd w:val="clear" w:fill="FFFFFF"/>
        </w:rPr>
      </w:pPr>
      <w:r>
        <w:rPr>
          <w:rStyle w:val="8"/>
          <w:rFonts w:hint="default" w:ascii="Arial" w:hAnsi="Arial" w:eastAsia="宋体" w:cs="Arial"/>
          <w:i w:val="0"/>
          <w:caps w:val="0"/>
          <w:color w:val="000000"/>
          <w:spacing w:val="0"/>
          <w:sz w:val="27"/>
          <w:szCs w:val="27"/>
          <w:shd w:val="clear" w:fill="FFFFFF"/>
        </w:rPr>
        <w:br w:type="textWrapping"/>
      </w:r>
      <w:r>
        <w:rPr>
          <w:rStyle w:val="8"/>
          <w:rFonts w:ascii="Arial" w:hAnsi="Arial" w:eastAsia="宋体" w:cs="Arial"/>
          <w:color w:val="000000"/>
          <w:kern w:val="0"/>
          <w:sz w:val="24"/>
          <w:shd w:val="clear" w:color="auto" w:fill="FFFFFF"/>
        </w:rPr>
        <w:br w:type="textWrapping"/>
      </w:r>
      <w:r>
        <w:rPr>
          <w:rStyle w:val="8"/>
          <w:rFonts w:hint="eastAsia" w:ascii="Arial" w:hAnsi="Arial" w:eastAsia="宋体" w:cs="Arial"/>
          <w:i w:val="0"/>
          <w:caps w:val="0"/>
          <w:color w:val="000000"/>
          <w:spacing w:val="0"/>
          <w:sz w:val="27"/>
          <w:szCs w:val="27"/>
          <w:shd w:val="clear" w:fill="FFFFFF"/>
        </w:rPr>
        <w:t>第三部分：部门</w:t>
      </w:r>
      <w:r>
        <w:rPr>
          <w:rStyle w:val="8"/>
          <w:rFonts w:hint="default" w:ascii="Arial" w:hAnsi="Arial" w:eastAsia="宋体" w:cs="Arial"/>
          <w:i w:val="0"/>
          <w:caps w:val="0"/>
          <w:color w:val="000000"/>
          <w:spacing w:val="0"/>
          <w:sz w:val="27"/>
          <w:szCs w:val="27"/>
          <w:shd w:val="clear" w:fill="FFFFFF"/>
        </w:rPr>
        <w:t>2021年部门决算情况说明</w:t>
      </w:r>
      <w:r>
        <w:rPr>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一、收支总体情况说明</w:t>
      </w:r>
      <w:r>
        <w:rPr>
          <w:rFonts w:hint="default" w:ascii="Arial" w:hAnsi="Arial" w:eastAsia="宋体" w:cs="Arial"/>
          <w:i w:val="0"/>
          <w:caps w:val="0"/>
          <w:color w:val="000000"/>
          <w:spacing w:val="0"/>
          <w:sz w:val="27"/>
          <w:szCs w:val="27"/>
          <w:shd w:val="clear" w:fill="FFFFFF"/>
        </w:rPr>
        <w:br w:type="textWrapping"/>
      </w:r>
      <w:r>
        <w:rPr>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下陆区统计局2021年度决算总收入合计178.39万元，其中：财政拨款收入178.39万元，占总收入100%。其他经费收入0万元，占总收入0%。</w:t>
      </w:r>
      <w:r>
        <w:rPr>
          <w:rFonts w:hint="eastAsia" w:ascii="宋体" w:hAnsi="宋体" w:eastAsia="宋体" w:cs="宋体"/>
          <w:b w:val="0"/>
          <w:bCs/>
          <w:i w:val="0"/>
          <w:caps w:val="0"/>
          <w:color w:val="000000"/>
          <w:spacing w:val="0"/>
          <w:sz w:val="28"/>
          <w:szCs w:val="28"/>
          <w:shd w:val="clear" w:fill="FFFFFF"/>
        </w:rPr>
        <w:br w:type="textWrapping"/>
      </w:r>
      <w:r>
        <w:rPr>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下陆区统计局2021年度支出204.34万元，其中：基本支出112.97万元，占总收入55.29%，项目支出91.37元，占总收入44.17%。</w:t>
      </w:r>
      <w:r>
        <w:rPr>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二、2021年度决算收入支出增减变化情况</w:t>
      </w:r>
      <w:r>
        <w:rPr>
          <w:rFonts w:hint="default" w:ascii="Arial" w:hAnsi="Arial" w:eastAsia="宋体" w:cs="Arial"/>
          <w:i w:val="0"/>
          <w:caps w:val="0"/>
          <w:color w:val="000000"/>
          <w:spacing w:val="0"/>
          <w:sz w:val="27"/>
          <w:szCs w:val="27"/>
          <w:shd w:val="clear" w:fill="FFFFFF"/>
        </w:rPr>
        <w:br w:type="textWrapping"/>
      </w:r>
      <w:r>
        <w:rPr>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度决算收入合计178.39万元，与上年决算数268.42万元相比减少90.03万元，主要原因是：2020年度有七经普经费开支，去年有其他经费支出。与年初预算158.27相比增加20.12万元，主要原因是：财政拨入经费增加及上级部门拨入其他收入经费。</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本单位2021年度支出204.34万元，与上年决算数257.67相比减少53.33万元，主要原因是：2020年度有七经普经费开支，去年有其他经费支出。与年初预算158.27相比增加46.07万元，主要原因是：财政拨入经费增加及上级部门拨入其他收入经费。</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三、2021年财政拨款收入支出决算情况说明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下陆区统计局2021年财政拨款收入总计178.39万元，年初结转结余11.42万元，其中：一般公共预算拨款178.39万元，年初结转结余11.42万元；</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highlight w:val="none"/>
          <w:shd w:val="clear" w:fill="FFFFFF"/>
          <w:lang w:val="en-US" w:eastAsia="zh-CN"/>
        </w:rPr>
        <w:t xml:space="preserve"> 2</w:t>
      </w:r>
      <w:r>
        <w:rPr>
          <w:rStyle w:val="8"/>
          <w:rFonts w:hint="eastAsia" w:ascii="宋体" w:hAnsi="宋体" w:eastAsia="宋体" w:cs="宋体"/>
          <w:b w:val="0"/>
          <w:bCs/>
          <w:i w:val="0"/>
          <w:caps w:val="0"/>
          <w:color w:val="000000"/>
          <w:spacing w:val="0"/>
          <w:sz w:val="28"/>
          <w:szCs w:val="28"/>
          <w:highlight w:val="none"/>
          <w:shd w:val="clear" w:fill="FFFFFF"/>
        </w:rPr>
        <w:t>021年财政拨款支出总计189.81万元，</w:t>
      </w:r>
      <w:r>
        <w:rPr>
          <w:rFonts w:hint="eastAsia" w:ascii="宋体" w:hAnsi="宋体" w:eastAsia="宋体" w:cs="宋体"/>
          <w:color w:val="000000"/>
          <w:kern w:val="0"/>
          <w:sz w:val="28"/>
          <w:szCs w:val="28"/>
          <w:highlight w:val="none"/>
          <w:lang w:val="en-US" w:eastAsia="zh-CN"/>
        </w:rPr>
        <w:t>与</w:t>
      </w:r>
      <w:r>
        <w:rPr>
          <w:rFonts w:hint="default" w:ascii="宋体" w:hAnsi="宋体" w:eastAsia="宋体" w:cs="宋体"/>
          <w:color w:val="000000"/>
          <w:kern w:val="0"/>
          <w:sz w:val="28"/>
          <w:szCs w:val="28"/>
          <w:highlight w:val="none"/>
          <w:lang w:val="en-US" w:eastAsia="zh-CN"/>
        </w:rPr>
        <w:t>年初预算数</w:t>
      </w:r>
      <w:r>
        <w:rPr>
          <w:rFonts w:hint="eastAsia" w:ascii="宋体" w:hAnsi="宋体" w:eastAsia="宋体" w:cs="宋体"/>
          <w:color w:val="000000"/>
          <w:kern w:val="0"/>
          <w:sz w:val="28"/>
          <w:szCs w:val="28"/>
          <w:highlight w:val="none"/>
          <w:lang w:val="en-US" w:eastAsia="zh-CN"/>
        </w:rPr>
        <w:t>158.27</w:t>
      </w:r>
      <w:r>
        <w:rPr>
          <w:rFonts w:hint="default" w:ascii="宋体" w:hAnsi="宋体" w:eastAsia="宋体" w:cs="宋体"/>
          <w:color w:val="000000"/>
          <w:kern w:val="0"/>
          <w:sz w:val="28"/>
          <w:szCs w:val="28"/>
          <w:highlight w:val="none"/>
          <w:lang w:val="en-US" w:eastAsia="zh-CN"/>
        </w:rPr>
        <w:t>万元</w:t>
      </w:r>
      <w:r>
        <w:rPr>
          <w:rFonts w:hint="eastAsia" w:ascii="宋体" w:hAnsi="宋体" w:eastAsia="宋体" w:cs="宋体"/>
          <w:color w:val="000000"/>
          <w:kern w:val="0"/>
          <w:sz w:val="28"/>
          <w:szCs w:val="28"/>
          <w:highlight w:val="none"/>
          <w:lang w:val="en-US" w:eastAsia="zh-CN"/>
        </w:rPr>
        <w:t>相比增加31.54万元，原因是单位人员变动，人员经费增加。与上年决算数240.89万元相比减少51.08万元，原因是</w:t>
      </w:r>
      <w:r>
        <w:rPr>
          <w:rStyle w:val="8"/>
          <w:rFonts w:hint="eastAsia" w:ascii="宋体" w:hAnsi="宋体" w:eastAsia="宋体" w:cs="宋体"/>
          <w:b w:val="0"/>
          <w:bCs/>
          <w:i w:val="0"/>
          <w:caps w:val="0"/>
          <w:color w:val="000000"/>
          <w:spacing w:val="0"/>
          <w:sz w:val="28"/>
          <w:szCs w:val="28"/>
          <w:highlight w:val="none"/>
          <w:shd w:val="clear" w:fill="FFFFFF"/>
        </w:rPr>
        <w:t>2020年度有七经普经费开支</w:t>
      </w:r>
      <w:r>
        <w:rPr>
          <w:rFonts w:hint="eastAsia" w:ascii="宋体" w:hAnsi="宋体" w:eastAsia="宋体" w:cs="宋体"/>
          <w:color w:val="000000"/>
          <w:kern w:val="0"/>
          <w:sz w:val="28"/>
          <w:szCs w:val="28"/>
          <w:highlight w:val="none"/>
          <w:lang w:val="en-US" w:eastAsia="zh-CN"/>
        </w:rPr>
        <w:t>。</w:t>
      </w:r>
      <w:r>
        <w:rPr>
          <w:rStyle w:val="8"/>
          <w:rFonts w:hint="eastAsia" w:ascii="宋体" w:hAnsi="宋体" w:eastAsia="宋体" w:cs="宋体"/>
          <w:b w:val="0"/>
          <w:bCs/>
          <w:i w:val="0"/>
          <w:caps w:val="0"/>
          <w:color w:val="000000"/>
          <w:spacing w:val="0"/>
          <w:sz w:val="28"/>
          <w:szCs w:val="28"/>
          <w:highlight w:val="none"/>
          <w:shd w:val="clear" w:fill="FFFFFF"/>
        </w:rPr>
        <w:t>按支出性质分类：基本支出98.44万元，项目支出91.37万元。年末财政</w:t>
      </w:r>
      <w:r>
        <w:rPr>
          <w:rStyle w:val="8"/>
          <w:rFonts w:hint="eastAsia" w:ascii="宋体" w:hAnsi="宋体" w:eastAsia="宋体" w:cs="宋体"/>
          <w:b w:val="0"/>
          <w:bCs/>
          <w:i w:val="0"/>
          <w:caps w:val="0"/>
          <w:color w:val="000000"/>
          <w:spacing w:val="0"/>
          <w:sz w:val="28"/>
          <w:szCs w:val="28"/>
          <w:shd w:val="clear" w:fill="FFFFFF"/>
        </w:rPr>
        <w:t>拨款结转和结余0万元。其中：一般公共预算拨款189.81万元，年末财政拨款结转和结余0万元。</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四、2021年一般公共预算财政拨款支出决算情况说明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下陆区统计局2021年一般公共预算财政拨款支出189.81万元，与年初预算数为158.27万元，相比增加31.54万元，其中：一般公共预算财政拨款增加31.54万元。</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按支出功能分类，一般公共服务支出决算为189.81万元，较上年减少51.08万元，下降21.2%。</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五、2021年一般公共预算财政拨款基本支出决算情况说明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下陆区统计局2021年一般公共预算财政拨款基本支出98.44万元，较上年下降16.75万元，降幅14.54%。其中，人员经费支出95.16万元，较上年下降16.23万元，降幅14.57%。人员经费主要包括：基本工资、津贴补贴、奖金、社会保险缴费、离退休费、医疗费、住房公积金、职业年金、机关事业单位养老保险等支出。日常公用经费支出3.28万元，较上年下降0.52万元，降幅13.68%。日常公用经费主要包括：办公费、印刷费、水费、电费、邮电费、物业管理费、差旅费、维修（护）费、租赁费、会议费、培训费、公务接待费、劳务费、工会经费、福利费、其他交通费、其他商品和服务支出、办公设备购置等。</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六、一般公共预算财政拨款“三公”经费支出决算情况说明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2</w:t>
      </w:r>
      <w:r>
        <w:rPr>
          <w:rStyle w:val="8"/>
          <w:rFonts w:hint="eastAsia" w:ascii="宋体" w:hAnsi="宋体" w:eastAsia="宋体" w:cs="宋体"/>
          <w:b w:val="0"/>
          <w:bCs/>
          <w:i w:val="0"/>
          <w:caps w:val="0"/>
          <w:color w:val="000000"/>
          <w:spacing w:val="0"/>
          <w:sz w:val="28"/>
          <w:szCs w:val="28"/>
          <w:shd w:val="clear" w:fill="FFFFFF"/>
        </w:rPr>
        <w:t>021年度“三公”经费支出决算数为0.3万元，与2020年支出决算数0万元相比增加0.3万元，</w:t>
      </w:r>
      <w:r>
        <w:rPr>
          <w:rStyle w:val="8"/>
          <w:rFonts w:hint="eastAsia" w:ascii="宋体" w:hAnsi="宋体" w:eastAsia="宋体" w:cs="宋体"/>
          <w:b w:val="0"/>
          <w:bCs/>
          <w:i w:val="0"/>
          <w:caps w:val="0"/>
          <w:color w:val="000000"/>
          <w:spacing w:val="0"/>
          <w:sz w:val="28"/>
          <w:szCs w:val="28"/>
          <w:shd w:val="clear" w:fill="FFFFFF"/>
          <w:lang w:eastAsia="zh-CN"/>
        </w:rPr>
        <w:t>是因</w:t>
      </w:r>
      <w:r>
        <w:rPr>
          <w:rStyle w:val="8"/>
          <w:rFonts w:hint="eastAsia" w:ascii="宋体" w:hAnsi="宋体" w:eastAsia="宋体" w:cs="宋体"/>
          <w:b w:val="0"/>
          <w:bCs/>
          <w:i w:val="0"/>
          <w:caps w:val="0"/>
          <w:color w:val="000000"/>
          <w:spacing w:val="0"/>
          <w:sz w:val="28"/>
          <w:szCs w:val="28"/>
          <w:shd w:val="clear" w:fill="FFFFFF"/>
        </w:rPr>
        <w:t>为今年有国家及省级领导部门调研科技统计业务工作，招待费用增加。与2021年年初预算0.24万元相比，招待费用增加0.06万元，是上级部门调研招待费用增加。其中:</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rPr>
        <w:t>1</w:t>
      </w:r>
      <w:r>
        <w:rPr>
          <w:rStyle w:val="8"/>
          <w:rFonts w:hint="eastAsia" w:ascii="宋体" w:hAnsi="宋体" w:eastAsia="宋体" w:cs="宋体"/>
          <w:b w:val="0"/>
          <w:bCs/>
          <w:i w:val="0"/>
          <w:caps w:val="0"/>
          <w:color w:val="000000"/>
          <w:spacing w:val="0"/>
          <w:sz w:val="28"/>
          <w:szCs w:val="28"/>
          <w:highlight w:val="none"/>
          <w:shd w:val="clear" w:fill="FFFFFF"/>
        </w:rPr>
        <w:t>、</w:t>
      </w:r>
      <w:r>
        <w:rPr>
          <w:rFonts w:hint="default" w:ascii="宋体" w:hAnsi="宋体" w:eastAsia="宋体" w:cs="宋体"/>
          <w:color w:val="000000"/>
          <w:kern w:val="0"/>
          <w:sz w:val="28"/>
          <w:szCs w:val="28"/>
          <w:highlight w:val="none"/>
          <w:lang w:val="en-US" w:eastAsia="zh-CN"/>
        </w:rPr>
        <w:t>因公出国（境）费用支出决算为0万元，</w:t>
      </w:r>
      <w:r>
        <w:rPr>
          <w:rFonts w:hint="eastAsia" w:ascii="宋体" w:hAnsi="宋体" w:eastAsia="宋体" w:cs="宋体"/>
          <w:color w:val="000000"/>
          <w:kern w:val="0"/>
          <w:sz w:val="28"/>
          <w:szCs w:val="28"/>
          <w:highlight w:val="none"/>
          <w:lang w:val="en-US" w:eastAsia="zh-CN"/>
        </w:rPr>
        <w:t>,团组数为0组，人数为0人</w:t>
      </w:r>
      <w:r>
        <w:rPr>
          <w:rFonts w:hint="default" w:ascii="宋体" w:hAnsi="宋体" w:eastAsia="宋体" w:cs="宋体"/>
          <w:color w:val="000000"/>
          <w:kern w:val="0"/>
          <w:sz w:val="28"/>
          <w:szCs w:val="28"/>
          <w:highlight w:val="none"/>
          <w:lang w:val="en-US" w:eastAsia="zh-CN"/>
        </w:rPr>
        <w:t>。与2020年决算数</w:t>
      </w:r>
      <w:r>
        <w:rPr>
          <w:rFonts w:hint="eastAsia" w:ascii="宋体" w:hAnsi="宋体" w:eastAsia="宋体" w:cs="宋体"/>
          <w:color w:val="000000"/>
          <w:kern w:val="0"/>
          <w:sz w:val="28"/>
          <w:szCs w:val="28"/>
          <w:highlight w:val="none"/>
          <w:lang w:val="en-US" w:eastAsia="zh-CN"/>
        </w:rPr>
        <w:t>0万元</w:t>
      </w:r>
      <w:r>
        <w:rPr>
          <w:rFonts w:hint="default" w:ascii="宋体" w:hAnsi="宋体" w:eastAsia="宋体" w:cs="宋体"/>
          <w:color w:val="000000"/>
          <w:kern w:val="0"/>
          <w:sz w:val="28"/>
          <w:szCs w:val="28"/>
          <w:highlight w:val="none"/>
          <w:lang w:val="en-US" w:eastAsia="zh-CN"/>
        </w:rPr>
        <w:t>相</w:t>
      </w:r>
      <w:r>
        <w:rPr>
          <w:rFonts w:hint="eastAsia" w:ascii="宋体" w:hAnsi="宋体" w:eastAsia="宋体" w:cs="宋体"/>
          <w:color w:val="000000"/>
          <w:kern w:val="0"/>
          <w:sz w:val="28"/>
          <w:szCs w:val="28"/>
          <w:highlight w:val="none"/>
          <w:lang w:val="en-US" w:eastAsia="zh-CN"/>
        </w:rPr>
        <w:t>比持平，原因是我单位无</w:t>
      </w:r>
      <w:r>
        <w:rPr>
          <w:rFonts w:hint="default" w:ascii="宋体" w:hAnsi="宋体" w:eastAsia="宋体" w:cs="宋体"/>
          <w:color w:val="000000"/>
          <w:kern w:val="0"/>
          <w:sz w:val="28"/>
          <w:szCs w:val="28"/>
          <w:highlight w:val="none"/>
          <w:lang w:val="en-US" w:eastAsia="zh-CN"/>
        </w:rPr>
        <w:t>因公出国（境）费用支出。与2021年预算</w:t>
      </w:r>
      <w:r>
        <w:rPr>
          <w:rFonts w:hint="eastAsia" w:ascii="宋体" w:hAnsi="宋体" w:eastAsia="宋体" w:cs="宋体"/>
          <w:color w:val="000000"/>
          <w:kern w:val="0"/>
          <w:sz w:val="28"/>
          <w:szCs w:val="28"/>
          <w:highlight w:val="none"/>
          <w:lang w:val="en-US" w:eastAsia="zh-CN"/>
        </w:rPr>
        <w:t>数0万元</w:t>
      </w:r>
      <w:r>
        <w:rPr>
          <w:rFonts w:hint="default" w:ascii="宋体" w:hAnsi="宋体" w:eastAsia="宋体" w:cs="宋体"/>
          <w:color w:val="000000"/>
          <w:kern w:val="0"/>
          <w:sz w:val="28"/>
          <w:szCs w:val="28"/>
          <w:highlight w:val="none"/>
          <w:lang w:val="en-US" w:eastAsia="zh-CN"/>
        </w:rPr>
        <w:t>相比</w:t>
      </w:r>
      <w:r>
        <w:rPr>
          <w:rFonts w:hint="eastAsia" w:ascii="宋体" w:hAnsi="宋体" w:eastAsia="宋体" w:cs="宋体"/>
          <w:color w:val="000000"/>
          <w:kern w:val="0"/>
          <w:sz w:val="28"/>
          <w:szCs w:val="28"/>
          <w:highlight w:val="none"/>
          <w:lang w:val="en-US" w:eastAsia="zh-CN"/>
        </w:rPr>
        <w:t>持平</w:t>
      </w:r>
      <w:r>
        <w:rPr>
          <w:rFonts w:hint="default" w:ascii="宋体" w:hAnsi="宋体" w:eastAsia="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原因是我单位无</w:t>
      </w:r>
      <w:r>
        <w:rPr>
          <w:rFonts w:hint="default" w:ascii="宋体" w:hAnsi="宋体" w:eastAsia="宋体" w:cs="宋体"/>
          <w:color w:val="000000"/>
          <w:kern w:val="0"/>
          <w:sz w:val="28"/>
          <w:szCs w:val="28"/>
          <w:highlight w:val="none"/>
          <w:lang w:val="en-US" w:eastAsia="zh-CN"/>
        </w:rPr>
        <w:t>因公出国（境）费用支出</w:t>
      </w:r>
      <w:r>
        <w:rPr>
          <w:rFonts w:hint="eastAsia" w:ascii="宋体" w:hAnsi="宋体" w:eastAsia="宋体" w:cs="宋体"/>
          <w:color w:val="000000"/>
          <w:kern w:val="0"/>
          <w:sz w:val="28"/>
          <w:szCs w:val="28"/>
          <w:highlight w:val="none"/>
          <w:lang w:val="en-US" w:eastAsia="zh-CN"/>
        </w:rPr>
        <w:t>。</w:t>
      </w:r>
      <w:r>
        <w:rPr>
          <w:rStyle w:val="8"/>
          <w:rFonts w:hint="eastAsia" w:ascii="宋体" w:hAnsi="宋体" w:eastAsia="宋体" w:cs="宋体"/>
          <w:b w:val="0"/>
          <w:bCs/>
          <w:i w:val="0"/>
          <w:caps w:val="0"/>
          <w:color w:val="000000"/>
          <w:spacing w:val="0"/>
          <w:sz w:val="28"/>
          <w:szCs w:val="28"/>
          <w:highlight w:val="none"/>
          <w:shd w:val="clear" w:fill="FFFFFF"/>
        </w:rPr>
        <w:br w:type="textWrapping"/>
      </w:r>
      <w:r>
        <w:rPr>
          <w:rStyle w:val="8"/>
          <w:rFonts w:hint="eastAsia" w:ascii="宋体" w:hAnsi="宋体" w:eastAsia="宋体" w:cs="宋体"/>
          <w:b w:val="0"/>
          <w:bCs/>
          <w:i w:val="0"/>
          <w:caps w:val="0"/>
          <w:color w:val="000000"/>
          <w:spacing w:val="0"/>
          <w:sz w:val="28"/>
          <w:szCs w:val="28"/>
          <w:highlight w:val="none"/>
          <w:shd w:val="clear" w:fill="FFFFFF"/>
        </w:rPr>
        <w:t>2、</w:t>
      </w:r>
      <w:r>
        <w:rPr>
          <w:rFonts w:hint="default" w:ascii="宋体" w:hAnsi="宋体" w:eastAsia="宋体" w:cs="宋体"/>
          <w:color w:val="000000"/>
          <w:kern w:val="0"/>
          <w:sz w:val="28"/>
          <w:szCs w:val="28"/>
          <w:highlight w:val="none"/>
          <w:lang w:val="en-US" w:eastAsia="zh-CN"/>
        </w:rPr>
        <w:t>2021年公务用车购置及运行维护费支出决算数为</w:t>
      </w:r>
      <w:r>
        <w:rPr>
          <w:rFonts w:hint="eastAsia" w:ascii="宋体" w:hAnsi="宋体" w:eastAsia="宋体" w:cs="宋体"/>
          <w:color w:val="000000"/>
          <w:kern w:val="0"/>
          <w:sz w:val="28"/>
          <w:szCs w:val="28"/>
          <w:highlight w:val="none"/>
          <w:lang w:val="en-US" w:eastAsia="zh-CN"/>
        </w:rPr>
        <w:t>0</w:t>
      </w:r>
      <w:r>
        <w:rPr>
          <w:rFonts w:hint="default" w:ascii="宋体" w:hAnsi="宋体" w:eastAsia="宋体" w:cs="宋体"/>
          <w:color w:val="000000"/>
          <w:kern w:val="0"/>
          <w:sz w:val="28"/>
          <w:szCs w:val="28"/>
          <w:highlight w:val="none"/>
          <w:lang w:val="en-US" w:eastAsia="zh-CN"/>
        </w:rPr>
        <w:t>万元，与2020年决算数</w:t>
      </w:r>
      <w:r>
        <w:rPr>
          <w:rFonts w:hint="eastAsia" w:ascii="宋体" w:hAnsi="宋体" w:eastAsia="宋体" w:cs="宋体"/>
          <w:color w:val="000000"/>
          <w:kern w:val="0"/>
          <w:sz w:val="28"/>
          <w:szCs w:val="28"/>
          <w:highlight w:val="none"/>
          <w:lang w:val="en-US" w:eastAsia="zh-CN"/>
        </w:rPr>
        <w:t>0万元</w:t>
      </w:r>
      <w:r>
        <w:rPr>
          <w:rFonts w:hint="default" w:ascii="宋体" w:hAnsi="宋体" w:eastAsia="宋体" w:cs="宋体"/>
          <w:color w:val="000000"/>
          <w:kern w:val="0"/>
          <w:sz w:val="28"/>
          <w:szCs w:val="28"/>
          <w:highlight w:val="none"/>
          <w:lang w:val="en-US" w:eastAsia="zh-CN"/>
        </w:rPr>
        <w:t>相比</w:t>
      </w:r>
      <w:r>
        <w:rPr>
          <w:rFonts w:hint="eastAsia" w:ascii="宋体" w:hAnsi="宋体" w:eastAsia="宋体" w:cs="宋体"/>
          <w:color w:val="000000"/>
          <w:kern w:val="0"/>
          <w:sz w:val="28"/>
          <w:szCs w:val="28"/>
          <w:highlight w:val="none"/>
          <w:lang w:val="en-US" w:eastAsia="zh-CN"/>
        </w:rPr>
        <w:t>持平，原因是单位公车改革后无公务用车。</w:t>
      </w:r>
      <w:r>
        <w:rPr>
          <w:rFonts w:hint="default" w:ascii="宋体" w:hAnsi="宋体" w:eastAsia="宋体" w:cs="宋体"/>
          <w:color w:val="000000"/>
          <w:kern w:val="0"/>
          <w:sz w:val="28"/>
          <w:szCs w:val="28"/>
          <w:highlight w:val="none"/>
          <w:lang w:val="en-US" w:eastAsia="zh-CN"/>
        </w:rPr>
        <w:t>与2021年预算</w:t>
      </w:r>
      <w:r>
        <w:rPr>
          <w:rFonts w:hint="eastAsia" w:ascii="宋体" w:hAnsi="宋体" w:eastAsia="宋体" w:cs="宋体"/>
          <w:color w:val="000000"/>
          <w:kern w:val="0"/>
          <w:sz w:val="28"/>
          <w:szCs w:val="28"/>
          <w:highlight w:val="none"/>
          <w:lang w:val="en-US" w:eastAsia="zh-CN"/>
        </w:rPr>
        <w:t>数0万元</w:t>
      </w:r>
      <w:r>
        <w:rPr>
          <w:rFonts w:hint="default" w:ascii="宋体" w:hAnsi="宋体" w:eastAsia="宋体" w:cs="宋体"/>
          <w:color w:val="000000"/>
          <w:kern w:val="0"/>
          <w:sz w:val="28"/>
          <w:szCs w:val="28"/>
          <w:highlight w:val="none"/>
          <w:lang w:val="en-US" w:eastAsia="zh-CN"/>
        </w:rPr>
        <w:t>相比</w:t>
      </w:r>
      <w:r>
        <w:rPr>
          <w:rFonts w:hint="eastAsia" w:ascii="宋体" w:hAnsi="宋体" w:eastAsia="宋体" w:cs="宋体"/>
          <w:color w:val="000000"/>
          <w:kern w:val="0"/>
          <w:sz w:val="28"/>
          <w:szCs w:val="28"/>
          <w:highlight w:val="none"/>
          <w:lang w:val="en-US" w:eastAsia="zh-CN"/>
        </w:rPr>
        <w:t>持平</w:t>
      </w:r>
      <w:r>
        <w:rPr>
          <w:rFonts w:hint="default" w:ascii="宋体" w:hAnsi="宋体" w:eastAsia="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原因是单位公车改革后无公务用车。</w:t>
      </w:r>
      <w:r>
        <w:rPr>
          <w:rFonts w:hint="default" w:ascii="宋体" w:hAnsi="宋体" w:eastAsia="宋体" w:cs="宋体"/>
          <w:color w:val="000000"/>
          <w:kern w:val="0"/>
          <w:sz w:val="28"/>
          <w:szCs w:val="28"/>
          <w:highlight w:val="none"/>
          <w:lang w:val="en-US" w:eastAsia="zh-CN"/>
        </w:rPr>
        <w:t>其中：</w:t>
      </w:r>
      <w:r>
        <w:rPr>
          <w:rFonts w:hint="eastAsia" w:ascii="宋体" w:hAnsi="宋体" w:eastAsia="宋体" w:cs="宋体"/>
          <w:color w:val="000000"/>
          <w:kern w:val="0"/>
          <w:sz w:val="28"/>
          <w:szCs w:val="28"/>
          <w:highlight w:val="none"/>
          <w:lang w:val="en-US" w:eastAsia="zh-CN"/>
        </w:rPr>
        <w:br w:type="textWrapping"/>
      </w:r>
      <w:r>
        <w:rPr>
          <w:rFonts w:hint="eastAsia" w:ascii="宋体" w:hAnsi="宋体" w:eastAsia="宋体" w:cs="宋体"/>
          <w:color w:val="000000"/>
          <w:kern w:val="0"/>
          <w:sz w:val="28"/>
          <w:szCs w:val="28"/>
          <w:highlight w:val="none"/>
          <w:lang w:val="en-US" w:eastAsia="zh-CN"/>
        </w:rPr>
        <w:t>（1）我单位</w:t>
      </w:r>
      <w:r>
        <w:rPr>
          <w:rFonts w:hint="default" w:ascii="宋体" w:hAnsi="宋体" w:eastAsia="宋体" w:cs="宋体"/>
          <w:color w:val="000000"/>
          <w:kern w:val="0"/>
          <w:sz w:val="28"/>
          <w:szCs w:val="28"/>
          <w:highlight w:val="none"/>
          <w:lang w:val="en-US" w:eastAsia="zh-CN"/>
        </w:rPr>
        <w:t>公务用车购置费为0万元，车型为：无 ，本年度公务用车购置数0辆</w:t>
      </w:r>
      <w:r>
        <w:rPr>
          <w:rFonts w:hint="eastAsia" w:ascii="宋体" w:hAnsi="宋体" w:eastAsia="宋体" w:cs="宋体"/>
          <w:color w:val="000000"/>
          <w:kern w:val="0"/>
          <w:sz w:val="28"/>
          <w:szCs w:val="28"/>
          <w:highlight w:val="none"/>
          <w:lang w:val="en-US" w:eastAsia="zh-CN"/>
        </w:rPr>
        <w:t>，</w:t>
      </w:r>
      <w:r>
        <w:rPr>
          <w:rFonts w:hint="default" w:ascii="宋体" w:hAnsi="宋体" w:eastAsia="宋体" w:cs="宋体"/>
          <w:color w:val="000000"/>
          <w:kern w:val="0"/>
          <w:sz w:val="28"/>
          <w:szCs w:val="28"/>
          <w:highlight w:val="none"/>
          <w:lang w:val="en-US" w:eastAsia="zh-CN"/>
        </w:rPr>
        <w:t>公务用车保有量为</w:t>
      </w:r>
      <w:r>
        <w:rPr>
          <w:rFonts w:hint="eastAsia" w:ascii="宋体" w:hAnsi="宋体" w:eastAsia="宋体" w:cs="宋体"/>
          <w:color w:val="000000"/>
          <w:kern w:val="0"/>
          <w:sz w:val="28"/>
          <w:szCs w:val="28"/>
          <w:highlight w:val="none"/>
          <w:lang w:val="en-US" w:eastAsia="zh-CN"/>
        </w:rPr>
        <w:t>0</w:t>
      </w:r>
      <w:r>
        <w:rPr>
          <w:rFonts w:hint="default" w:ascii="宋体" w:hAnsi="宋体" w:eastAsia="宋体" w:cs="宋体"/>
          <w:color w:val="000000"/>
          <w:kern w:val="0"/>
          <w:sz w:val="28"/>
          <w:szCs w:val="28"/>
          <w:highlight w:val="none"/>
          <w:lang w:val="en-US" w:eastAsia="zh-CN"/>
        </w:rPr>
        <w:t>台</w:t>
      </w:r>
      <w:r>
        <w:rPr>
          <w:rFonts w:hint="eastAsia" w:ascii="宋体" w:hAnsi="宋体" w:eastAsia="宋体" w:cs="宋体"/>
          <w:color w:val="000000"/>
          <w:kern w:val="0"/>
          <w:sz w:val="28"/>
          <w:szCs w:val="28"/>
          <w:highlight w:val="none"/>
          <w:lang w:val="en-US" w:eastAsia="zh-CN"/>
        </w:rPr>
        <w:t>。</w:t>
      </w:r>
      <w:r>
        <w:rPr>
          <w:rFonts w:hint="default" w:ascii="宋体" w:hAnsi="宋体" w:eastAsia="宋体" w:cs="宋体"/>
          <w:color w:val="000000"/>
          <w:kern w:val="0"/>
          <w:sz w:val="28"/>
          <w:szCs w:val="28"/>
          <w:highlight w:val="none"/>
          <w:lang w:val="en-US" w:eastAsia="zh-CN"/>
        </w:rPr>
        <w:t>与2020年决算数</w:t>
      </w:r>
      <w:r>
        <w:rPr>
          <w:rFonts w:hint="eastAsia" w:ascii="宋体" w:hAnsi="宋体" w:eastAsia="宋体" w:cs="宋体"/>
          <w:color w:val="000000"/>
          <w:kern w:val="0"/>
          <w:sz w:val="28"/>
          <w:szCs w:val="28"/>
          <w:highlight w:val="none"/>
          <w:lang w:val="en-US" w:eastAsia="zh-CN"/>
        </w:rPr>
        <w:t>0万元</w:t>
      </w:r>
      <w:r>
        <w:rPr>
          <w:rFonts w:hint="default" w:ascii="宋体" w:hAnsi="宋体" w:eastAsia="宋体" w:cs="宋体"/>
          <w:color w:val="000000"/>
          <w:kern w:val="0"/>
          <w:sz w:val="28"/>
          <w:szCs w:val="28"/>
          <w:highlight w:val="none"/>
          <w:lang w:val="en-US" w:eastAsia="zh-CN"/>
        </w:rPr>
        <w:t>相比</w:t>
      </w:r>
      <w:r>
        <w:rPr>
          <w:rFonts w:hint="eastAsia" w:ascii="宋体" w:hAnsi="宋体" w:eastAsia="宋体" w:cs="宋体"/>
          <w:color w:val="000000"/>
          <w:kern w:val="0"/>
          <w:sz w:val="28"/>
          <w:szCs w:val="28"/>
          <w:highlight w:val="none"/>
          <w:lang w:val="en-US" w:eastAsia="zh-CN"/>
        </w:rPr>
        <w:t>持平，原因是我单位未购置车辆</w:t>
      </w:r>
      <w:r>
        <w:rPr>
          <w:rFonts w:hint="default" w:ascii="宋体" w:hAnsi="宋体" w:eastAsia="宋体" w:cs="宋体"/>
          <w:color w:val="000000"/>
          <w:kern w:val="0"/>
          <w:sz w:val="28"/>
          <w:szCs w:val="28"/>
          <w:highlight w:val="none"/>
          <w:lang w:val="en-US" w:eastAsia="zh-CN"/>
        </w:rPr>
        <w:t>。与2021年预算</w:t>
      </w:r>
      <w:r>
        <w:rPr>
          <w:rFonts w:hint="eastAsia" w:ascii="宋体" w:hAnsi="宋体" w:eastAsia="宋体" w:cs="宋体"/>
          <w:color w:val="000000"/>
          <w:kern w:val="0"/>
          <w:sz w:val="28"/>
          <w:szCs w:val="28"/>
          <w:highlight w:val="none"/>
          <w:lang w:val="en-US" w:eastAsia="zh-CN"/>
        </w:rPr>
        <w:t>数0万元</w:t>
      </w:r>
      <w:r>
        <w:rPr>
          <w:rFonts w:hint="default" w:ascii="宋体" w:hAnsi="宋体" w:eastAsia="宋体" w:cs="宋体"/>
          <w:color w:val="000000"/>
          <w:kern w:val="0"/>
          <w:sz w:val="28"/>
          <w:szCs w:val="28"/>
          <w:highlight w:val="none"/>
          <w:lang w:val="en-US" w:eastAsia="zh-CN"/>
        </w:rPr>
        <w:t>相比</w:t>
      </w:r>
      <w:r>
        <w:rPr>
          <w:rFonts w:hint="eastAsia" w:ascii="宋体" w:hAnsi="宋体" w:eastAsia="宋体" w:cs="宋体"/>
          <w:color w:val="000000"/>
          <w:kern w:val="0"/>
          <w:sz w:val="28"/>
          <w:szCs w:val="28"/>
          <w:highlight w:val="none"/>
          <w:lang w:val="en-US" w:eastAsia="zh-CN"/>
        </w:rPr>
        <w:t>持平</w:t>
      </w:r>
      <w:r>
        <w:rPr>
          <w:rFonts w:hint="default" w:ascii="宋体" w:hAnsi="宋体" w:eastAsia="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原因是我单位未购置车辆</w:t>
      </w:r>
      <w:r>
        <w:rPr>
          <w:rFonts w:hint="default" w:ascii="宋体" w:hAnsi="宋体" w:eastAsia="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br w:type="textWrapping"/>
      </w:r>
      <w:r>
        <w:rPr>
          <w:rFonts w:hint="eastAsia" w:ascii="宋体" w:hAnsi="宋体" w:eastAsia="宋体" w:cs="宋体"/>
          <w:color w:val="000000"/>
          <w:kern w:val="0"/>
          <w:sz w:val="28"/>
          <w:szCs w:val="28"/>
          <w:highlight w:val="none"/>
          <w:lang w:val="en-US" w:eastAsia="zh-CN"/>
        </w:rPr>
        <w:t>（2）</w:t>
      </w:r>
      <w:r>
        <w:rPr>
          <w:rFonts w:hint="default" w:ascii="宋体" w:hAnsi="宋体" w:eastAsia="宋体" w:cs="宋体"/>
          <w:color w:val="000000"/>
          <w:kern w:val="0"/>
          <w:sz w:val="28"/>
          <w:szCs w:val="28"/>
          <w:highlight w:val="none"/>
          <w:lang w:val="en-US" w:eastAsia="zh-CN"/>
        </w:rPr>
        <w:t>公务用车运行维护费</w:t>
      </w:r>
      <w:r>
        <w:rPr>
          <w:rFonts w:hint="eastAsia" w:ascii="宋体" w:hAnsi="宋体" w:eastAsia="宋体" w:cs="宋体"/>
          <w:color w:val="000000"/>
          <w:kern w:val="0"/>
          <w:sz w:val="28"/>
          <w:szCs w:val="28"/>
          <w:highlight w:val="none"/>
          <w:lang w:val="en-US" w:eastAsia="zh-CN"/>
        </w:rPr>
        <w:t>0</w:t>
      </w:r>
      <w:r>
        <w:rPr>
          <w:rFonts w:hint="default" w:ascii="宋体" w:hAnsi="宋体" w:eastAsia="宋体" w:cs="宋体"/>
          <w:color w:val="000000"/>
          <w:kern w:val="0"/>
          <w:sz w:val="28"/>
          <w:szCs w:val="28"/>
          <w:highlight w:val="none"/>
          <w:lang w:val="en-US" w:eastAsia="zh-CN"/>
        </w:rPr>
        <w:t>万元，与2020年支出决算数</w:t>
      </w:r>
      <w:r>
        <w:rPr>
          <w:rFonts w:hint="eastAsia" w:ascii="宋体" w:hAnsi="宋体" w:eastAsia="宋体" w:cs="宋体"/>
          <w:color w:val="000000"/>
          <w:kern w:val="0"/>
          <w:sz w:val="28"/>
          <w:szCs w:val="28"/>
          <w:highlight w:val="none"/>
          <w:lang w:val="en-US" w:eastAsia="zh-CN"/>
        </w:rPr>
        <w:t>0</w:t>
      </w:r>
      <w:r>
        <w:rPr>
          <w:rFonts w:hint="default" w:ascii="宋体" w:hAnsi="宋体" w:eastAsia="宋体" w:cs="宋体"/>
          <w:color w:val="000000"/>
          <w:kern w:val="0"/>
          <w:sz w:val="28"/>
          <w:szCs w:val="28"/>
          <w:highlight w:val="none"/>
          <w:lang w:val="en-US" w:eastAsia="zh-CN"/>
        </w:rPr>
        <w:t>万元</w:t>
      </w:r>
      <w:r>
        <w:rPr>
          <w:rFonts w:hint="eastAsia" w:ascii="宋体" w:hAnsi="宋体" w:eastAsia="宋体" w:cs="宋体"/>
          <w:color w:val="000000"/>
          <w:kern w:val="0"/>
          <w:sz w:val="28"/>
          <w:szCs w:val="28"/>
          <w:highlight w:val="none"/>
          <w:lang w:val="en-US" w:eastAsia="zh-CN"/>
        </w:rPr>
        <w:t>相比持平</w:t>
      </w:r>
      <w:r>
        <w:rPr>
          <w:rFonts w:hint="default" w:ascii="宋体" w:hAnsi="宋体" w:eastAsia="宋体" w:cs="宋体"/>
          <w:color w:val="000000"/>
          <w:kern w:val="0"/>
          <w:sz w:val="28"/>
          <w:szCs w:val="28"/>
          <w:highlight w:val="none"/>
          <w:lang w:val="en-US" w:eastAsia="zh-CN"/>
        </w:rPr>
        <w:t>，</w:t>
      </w:r>
      <w:r>
        <w:rPr>
          <w:rFonts w:hint="eastAsia" w:ascii="宋体" w:hAnsi="宋体" w:eastAsia="宋体" w:cs="宋体"/>
          <w:color w:val="000000"/>
          <w:kern w:val="0"/>
          <w:sz w:val="28"/>
          <w:szCs w:val="28"/>
          <w:highlight w:val="none"/>
          <w:lang w:val="en-US" w:eastAsia="zh-CN"/>
        </w:rPr>
        <w:t>原因是单位公车改革后无公务用车。与2021年预算数0万元相比持平,原因</w:t>
      </w:r>
      <w:r>
        <w:rPr>
          <w:rFonts w:hint="default" w:ascii="宋体" w:hAnsi="宋体" w:eastAsia="宋体" w:cs="宋体"/>
          <w:color w:val="000000"/>
          <w:kern w:val="0"/>
          <w:sz w:val="28"/>
          <w:szCs w:val="28"/>
          <w:highlight w:val="none"/>
          <w:lang w:val="en-US" w:eastAsia="zh-CN"/>
        </w:rPr>
        <w:t>是</w:t>
      </w:r>
      <w:r>
        <w:rPr>
          <w:rFonts w:hint="eastAsia" w:ascii="宋体" w:hAnsi="宋体" w:eastAsia="宋体" w:cs="宋体"/>
          <w:color w:val="000000"/>
          <w:kern w:val="0"/>
          <w:sz w:val="28"/>
          <w:szCs w:val="28"/>
          <w:highlight w:val="none"/>
          <w:lang w:val="en-US" w:eastAsia="zh-CN"/>
        </w:rPr>
        <w:t>单位公车改革后无公务用车。</w:t>
      </w:r>
      <w:r>
        <w:rPr>
          <w:rStyle w:val="8"/>
          <w:rFonts w:hint="eastAsia" w:ascii="宋体" w:hAnsi="宋体" w:eastAsia="宋体" w:cs="宋体"/>
          <w:b w:val="0"/>
          <w:bCs/>
          <w:i w:val="0"/>
          <w:caps w:val="0"/>
          <w:color w:val="000000"/>
          <w:spacing w:val="0"/>
          <w:sz w:val="28"/>
          <w:szCs w:val="28"/>
          <w:highlight w:val="none"/>
          <w:shd w:val="clear" w:fill="FFFFFF"/>
        </w:rPr>
        <w:br w:type="textWrapping"/>
      </w:r>
      <w:r>
        <w:rPr>
          <w:rStyle w:val="8"/>
          <w:rFonts w:hint="eastAsia" w:ascii="宋体" w:hAnsi="宋体" w:eastAsia="宋体" w:cs="宋体"/>
          <w:b w:val="0"/>
          <w:bCs/>
          <w:i w:val="0"/>
          <w:caps w:val="0"/>
          <w:color w:val="000000"/>
          <w:spacing w:val="0"/>
          <w:sz w:val="28"/>
          <w:szCs w:val="28"/>
          <w:highlight w:val="none"/>
          <w:shd w:val="clear" w:fill="FFFFFF"/>
        </w:rPr>
        <w:t>3、</w:t>
      </w:r>
      <w:r>
        <w:rPr>
          <w:rFonts w:hint="default" w:ascii="宋体" w:hAnsi="宋体" w:eastAsia="宋体" w:cs="宋体"/>
          <w:color w:val="000000"/>
          <w:kern w:val="0"/>
          <w:sz w:val="28"/>
          <w:szCs w:val="28"/>
          <w:highlight w:val="none"/>
          <w:lang w:val="en-US" w:eastAsia="zh-CN"/>
        </w:rPr>
        <w:t>公务接待支出决算数为</w:t>
      </w:r>
      <w:r>
        <w:rPr>
          <w:rFonts w:hint="eastAsia" w:ascii="宋体" w:hAnsi="宋体" w:eastAsia="宋体" w:cs="宋体"/>
          <w:color w:val="000000"/>
          <w:kern w:val="0"/>
          <w:sz w:val="28"/>
          <w:szCs w:val="28"/>
          <w:highlight w:val="none"/>
          <w:lang w:val="en-US" w:eastAsia="zh-CN"/>
        </w:rPr>
        <w:t>0.3</w:t>
      </w:r>
      <w:r>
        <w:rPr>
          <w:rFonts w:hint="default" w:ascii="宋体" w:hAnsi="宋体" w:eastAsia="宋体" w:cs="宋体"/>
          <w:color w:val="000000"/>
          <w:kern w:val="0"/>
          <w:sz w:val="28"/>
          <w:szCs w:val="28"/>
          <w:highlight w:val="none"/>
          <w:lang w:val="en-US" w:eastAsia="zh-CN"/>
        </w:rPr>
        <w:t>万元</w:t>
      </w:r>
      <w:r>
        <w:rPr>
          <w:rFonts w:hint="eastAsia" w:ascii="宋体" w:hAnsi="宋体" w:eastAsia="宋体" w:cs="宋体"/>
          <w:color w:val="000000"/>
          <w:kern w:val="0"/>
          <w:sz w:val="28"/>
          <w:szCs w:val="28"/>
          <w:highlight w:val="none"/>
          <w:lang w:val="en-US" w:eastAsia="zh-CN"/>
        </w:rPr>
        <w:t>，</w:t>
      </w:r>
      <w:r>
        <w:rPr>
          <w:rFonts w:hint="default" w:ascii="宋体" w:hAnsi="宋体" w:eastAsia="宋体" w:cs="宋体"/>
          <w:color w:val="000000"/>
          <w:kern w:val="0"/>
          <w:sz w:val="28"/>
          <w:szCs w:val="28"/>
          <w:highlight w:val="none"/>
          <w:lang w:val="en-US" w:eastAsia="zh-CN"/>
        </w:rPr>
        <w:t>共接待</w:t>
      </w:r>
      <w:r>
        <w:rPr>
          <w:rFonts w:hint="eastAsia" w:ascii="宋体" w:hAnsi="宋体" w:eastAsia="宋体" w:cs="宋体"/>
          <w:color w:val="000000"/>
          <w:kern w:val="0"/>
          <w:sz w:val="28"/>
          <w:szCs w:val="28"/>
          <w:highlight w:val="none"/>
          <w:lang w:val="en-US" w:eastAsia="zh-CN"/>
        </w:rPr>
        <w:t>2</w:t>
      </w:r>
      <w:r>
        <w:rPr>
          <w:rFonts w:hint="default" w:ascii="宋体" w:hAnsi="宋体" w:eastAsia="宋体" w:cs="宋体"/>
          <w:color w:val="000000"/>
          <w:kern w:val="0"/>
          <w:sz w:val="28"/>
          <w:szCs w:val="28"/>
          <w:highlight w:val="none"/>
          <w:lang w:val="en-US" w:eastAsia="zh-CN"/>
        </w:rPr>
        <w:t>批次、</w:t>
      </w:r>
      <w:r>
        <w:rPr>
          <w:rFonts w:hint="eastAsia" w:ascii="宋体" w:hAnsi="宋体" w:eastAsia="宋体" w:cs="宋体"/>
          <w:color w:val="000000"/>
          <w:kern w:val="0"/>
          <w:sz w:val="28"/>
          <w:szCs w:val="28"/>
          <w:highlight w:val="none"/>
          <w:lang w:val="en-US" w:eastAsia="zh-CN"/>
        </w:rPr>
        <w:t>22</w:t>
      </w:r>
      <w:r>
        <w:rPr>
          <w:rFonts w:hint="default" w:ascii="宋体" w:hAnsi="宋体" w:eastAsia="宋体" w:cs="宋体"/>
          <w:color w:val="000000"/>
          <w:kern w:val="0"/>
          <w:sz w:val="28"/>
          <w:szCs w:val="28"/>
          <w:highlight w:val="none"/>
          <w:lang w:val="en-US" w:eastAsia="zh-CN"/>
        </w:rPr>
        <w:t>人。</w:t>
      </w:r>
      <w:r>
        <w:rPr>
          <w:rFonts w:hint="eastAsia" w:ascii="宋体" w:hAnsi="宋体" w:eastAsia="宋体" w:cs="宋体"/>
          <w:color w:val="000000"/>
          <w:kern w:val="0"/>
          <w:sz w:val="28"/>
          <w:szCs w:val="28"/>
          <w:highlight w:val="none"/>
          <w:lang w:val="en-US" w:eastAsia="zh-CN"/>
        </w:rPr>
        <w:t>与2021年预算数0.24万元相比增加0.06万元，原因是</w:t>
      </w:r>
      <w:r>
        <w:rPr>
          <w:rStyle w:val="8"/>
          <w:rFonts w:hint="eastAsia" w:ascii="宋体" w:hAnsi="宋体" w:eastAsia="宋体" w:cs="宋体"/>
          <w:b w:val="0"/>
          <w:bCs/>
          <w:i w:val="0"/>
          <w:caps w:val="0"/>
          <w:color w:val="000000"/>
          <w:spacing w:val="0"/>
          <w:sz w:val="28"/>
          <w:szCs w:val="28"/>
          <w:highlight w:val="none"/>
          <w:shd w:val="clear" w:fill="FFFFFF"/>
        </w:rPr>
        <w:t>上级部门调研招待费用增加</w:t>
      </w:r>
      <w:r>
        <w:rPr>
          <w:rFonts w:hint="eastAsia" w:ascii="宋体" w:hAnsi="宋体" w:eastAsia="宋体" w:cs="宋体"/>
          <w:color w:val="000000"/>
          <w:kern w:val="0"/>
          <w:sz w:val="28"/>
          <w:szCs w:val="28"/>
          <w:highlight w:val="none"/>
          <w:lang w:val="en-US" w:eastAsia="zh-CN"/>
        </w:rPr>
        <w:t>，</w:t>
      </w:r>
      <w:r>
        <w:rPr>
          <w:rFonts w:hint="default" w:ascii="宋体" w:hAnsi="宋体" w:eastAsia="宋体" w:cs="宋体"/>
          <w:color w:val="000000"/>
          <w:kern w:val="0"/>
          <w:sz w:val="28"/>
          <w:szCs w:val="28"/>
          <w:highlight w:val="none"/>
          <w:lang w:val="en-US" w:eastAsia="zh-CN"/>
        </w:rPr>
        <w:t>与2020年支出决算数</w:t>
      </w:r>
      <w:r>
        <w:rPr>
          <w:rFonts w:hint="eastAsia" w:ascii="宋体" w:hAnsi="宋体" w:eastAsia="宋体" w:cs="宋体"/>
          <w:color w:val="000000"/>
          <w:kern w:val="0"/>
          <w:sz w:val="28"/>
          <w:szCs w:val="28"/>
          <w:highlight w:val="none"/>
          <w:lang w:val="en-US" w:eastAsia="zh-CN"/>
        </w:rPr>
        <w:t>0</w:t>
      </w:r>
      <w:r>
        <w:rPr>
          <w:rFonts w:hint="default" w:ascii="宋体" w:hAnsi="宋体" w:eastAsia="宋体" w:cs="宋体"/>
          <w:color w:val="000000"/>
          <w:kern w:val="0"/>
          <w:sz w:val="28"/>
          <w:szCs w:val="28"/>
          <w:highlight w:val="none"/>
          <w:lang w:val="en-US" w:eastAsia="zh-CN"/>
        </w:rPr>
        <w:t>万元相比</w:t>
      </w:r>
      <w:r>
        <w:rPr>
          <w:rFonts w:hint="eastAsia" w:ascii="宋体" w:hAnsi="宋体" w:eastAsia="宋体" w:cs="宋体"/>
          <w:color w:val="000000"/>
          <w:kern w:val="0"/>
          <w:sz w:val="28"/>
          <w:szCs w:val="28"/>
          <w:highlight w:val="none"/>
          <w:lang w:val="en-US" w:eastAsia="zh-CN"/>
        </w:rPr>
        <w:t>增加0.3</w:t>
      </w:r>
      <w:r>
        <w:rPr>
          <w:rFonts w:hint="default" w:ascii="宋体" w:hAnsi="宋体" w:eastAsia="宋体" w:cs="宋体"/>
          <w:color w:val="000000"/>
          <w:kern w:val="0"/>
          <w:sz w:val="28"/>
          <w:szCs w:val="28"/>
          <w:highlight w:val="none"/>
          <w:lang w:val="en-US" w:eastAsia="zh-CN"/>
        </w:rPr>
        <w:t>万元</w:t>
      </w:r>
      <w:r>
        <w:rPr>
          <w:rFonts w:hint="eastAsia" w:ascii="宋体" w:hAnsi="宋体" w:eastAsia="宋体" w:cs="宋体"/>
          <w:color w:val="000000"/>
          <w:kern w:val="0"/>
          <w:sz w:val="28"/>
          <w:szCs w:val="28"/>
          <w:highlight w:val="none"/>
          <w:lang w:val="en-US" w:eastAsia="zh-CN"/>
        </w:rPr>
        <w:t>,</w:t>
      </w:r>
      <w:r>
        <w:rPr>
          <w:rFonts w:hint="default" w:ascii="宋体" w:hAnsi="宋体" w:eastAsia="宋体" w:cs="宋体"/>
          <w:color w:val="000000"/>
          <w:kern w:val="0"/>
          <w:sz w:val="28"/>
          <w:szCs w:val="28"/>
          <w:highlight w:val="none"/>
          <w:lang w:val="en-US" w:eastAsia="zh-CN"/>
        </w:rPr>
        <w:t>原因</w:t>
      </w:r>
      <w:r>
        <w:rPr>
          <w:rFonts w:hint="eastAsia" w:ascii="宋体" w:hAnsi="宋体" w:eastAsia="宋体" w:cs="宋体"/>
          <w:color w:val="000000"/>
          <w:kern w:val="0"/>
          <w:sz w:val="28"/>
          <w:szCs w:val="28"/>
          <w:highlight w:val="none"/>
          <w:lang w:val="en-US" w:eastAsia="zh-CN"/>
        </w:rPr>
        <w:t>是</w:t>
      </w:r>
      <w:r>
        <w:rPr>
          <w:rStyle w:val="8"/>
          <w:rFonts w:hint="eastAsia" w:ascii="宋体" w:hAnsi="宋体" w:eastAsia="宋体" w:cs="宋体"/>
          <w:b w:val="0"/>
          <w:bCs/>
          <w:i w:val="0"/>
          <w:caps w:val="0"/>
          <w:color w:val="000000"/>
          <w:spacing w:val="0"/>
          <w:sz w:val="28"/>
          <w:szCs w:val="28"/>
          <w:highlight w:val="none"/>
          <w:shd w:val="clear" w:fill="FFFFFF"/>
        </w:rPr>
        <w:t>今年有国家及省级领导部门调研科技统计业务工作，招待费用增加</w:t>
      </w:r>
      <w:r>
        <w:rPr>
          <w:rStyle w:val="8"/>
          <w:rFonts w:hint="eastAsia" w:ascii="宋体" w:hAnsi="宋体" w:eastAsia="宋体" w:cs="宋体"/>
          <w:b w:val="0"/>
          <w:bCs/>
          <w:i w:val="0"/>
          <w:caps w:val="0"/>
          <w:color w:val="000000"/>
          <w:spacing w:val="0"/>
          <w:sz w:val="28"/>
          <w:szCs w:val="28"/>
          <w:highlight w:val="none"/>
          <w:shd w:val="clear" w:fill="FFFFFF"/>
          <w:lang w:eastAsia="zh-CN"/>
        </w:rPr>
        <w:t>。</w:t>
      </w:r>
      <w:r>
        <w:rPr>
          <w:rStyle w:val="8"/>
          <w:rFonts w:hint="eastAsia" w:ascii="宋体" w:hAnsi="宋体" w:eastAsia="宋体" w:cs="宋体"/>
          <w:b w:val="0"/>
          <w:bCs/>
          <w:i w:val="0"/>
          <w:caps w:val="0"/>
          <w:color w:val="000000"/>
          <w:spacing w:val="0"/>
          <w:sz w:val="28"/>
          <w:szCs w:val="28"/>
          <w:highlight w:val="none"/>
          <w:shd w:val="clear" w:fill="FFFFFF"/>
        </w:rPr>
        <w:br w:type="textWrapping"/>
      </w:r>
      <w:r>
        <w:rPr>
          <w:rStyle w:val="8"/>
          <w:rFonts w:hint="default" w:ascii="Arial" w:hAnsi="Arial" w:eastAsia="宋体" w:cs="Arial"/>
          <w:i w:val="0"/>
          <w:caps w:val="0"/>
          <w:color w:val="000000"/>
          <w:spacing w:val="0"/>
          <w:sz w:val="27"/>
          <w:szCs w:val="27"/>
          <w:shd w:val="clear" w:fill="FFFFFF"/>
        </w:rPr>
        <w:t>七、机关运行经费执行情况说明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 2021年度机关运行经费3.28万元，较202</w:t>
      </w:r>
      <w:r>
        <w:rPr>
          <w:rStyle w:val="8"/>
          <w:rFonts w:hint="eastAsia" w:ascii="宋体" w:hAnsi="宋体" w:eastAsia="宋体" w:cs="宋体"/>
          <w:b w:val="0"/>
          <w:bCs/>
          <w:i w:val="0"/>
          <w:caps w:val="0"/>
          <w:color w:val="000000"/>
          <w:spacing w:val="0"/>
          <w:sz w:val="28"/>
          <w:szCs w:val="28"/>
          <w:shd w:val="clear" w:fill="FFFFFF"/>
          <w:lang w:val="en-US" w:eastAsia="zh-CN"/>
        </w:rPr>
        <w:t>1</w:t>
      </w:r>
      <w:r>
        <w:rPr>
          <w:rStyle w:val="8"/>
          <w:rFonts w:hint="eastAsia" w:ascii="宋体" w:hAnsi="宋体" w:eastAsia="宋体" w:cs="宋体"/>
          <w:b w:val="0"/>
          <w:bCs/>
          <w:i w:val="0"/>
          <w:caps w:val="0"/>
          <w:color w:val="000000"/>
          <w:spacing w:val="0"/>
          <w:sz w:val="28"/>
          <w:szCs w:val="28"/>
          <w:shd w:val="clear" w:fill="FFFFFF"/>
        </w:rPr>
        <w:t>年</w:t>
      </w:r>
      <w:r>
        <w:rPr>
          <w:rStyle w:val="8"/>
          <w:rFonts w:hint="eastAsia" w:ascii="宋体" w:hAnsi="宋体" w:eastAsia="宋体" w:cs="宋体"/>
          <w:b w:val="0"/>
          <w:bCs/>
          <w:i w:val="0"/>
          <w:caps w:val="0"/>
          <w:color w:val="000000"/>
          <w:spacing w:val="0"/>
          <w:sz w:val="28"/>
          <w:szCs w:val="28"/>
          <w:shd w:val="clear" w:fill="FFFFFF"/>
          <w:lang w:eastAsia="zh-CN"/>
        </w:rPr>
        <w:t>预算</w:t>
      </w:r>
      <w:r>
        <w:rPr>
          <w:rStyle w:val="8"/>
          <w:rFonts w:hint="eastAsia" w:ascii="宋体" w:hAnsi="宋体" w:eastAsia="宋体" w:cs="宋体"/>
          <w:b w:val="0"/>
          <w:bCs/>
          <w:i w:val="0"/>
          <w:caps w:val="0"/>
          <w:color w:val="000000"/>
          <w:spacing w:val="0"/>
          <w:sz w:val="28"/>
          <w:szCs w:val="28"/>
          <w:shd w:val="clear" w:fill="FFFFFF"/>
          <w:lang w:val="en-US" w:eastAsia="zh-CN"/>
        </w:rPr>
        <w:t>5.38</w:t>
      </w:r>
      <w:r>
        <w:rPr>
          <w:rStyle w:val="8"/>
          <w:rFonts w:hint="eastAsia" w:ascii="宋体" w:hAnsi="宋体" w:eastAsia="宋体" w:cs="宋体"/>
          <w:b w:val="0"/>
          <w:bCs/>
          <w:i w:val="0"/>
          <w:caps w:val="0"/>
          <w:color w:val="000000"/>
          <w:spacing w:val="0"/>
          <w:sz w:val="28"/>
          <w:szCs w:val="28"/>
          <w:shd w:val="clear" w:fill="FFFFFF"/>
        </w:rPr>
        <w:t>万元减少</w:t>
      </w:r>
      <w:r>
        <w:rPr>
          <w:rStyle w:val="8"/>
          <w:rFonts w:hint="eastAsia" w:ascii="宋体" w:hAnsi="宋体" w:eastAsia="宋体" w:cs="宋体"/>
          <w:b w:val="0"/>
          <w:bCs/>
          <w:i w:val="0"/>
          <w:caps w:val="0"/>
          <w:color w:val="000000"/>
          <w:spacing w:val="0"/>
          <w:sz w:val="28"/>
          <w:szCs w:val="28"/>
          <w:shd w:val="clear" w:fill="FFFFFF"/>
          <w:lang w:val="en-US" w:eastAsia="zh-CN"/>
        </w:rPr>
        <w:t>2.1</w:t>
      </w:r>
      <w:r>
        <w:rPr>
          <w:rStyle w:val="8"/>
          <w:rFonts w:hint="eastAsia" w:ascii="宋体" w:hAnsi="宋体" w:eastAsia="宋体" w:cs="宋体"/>
          <w:b w:val="0"/>
          <w:bCs/>
          <w:i w:val="0"/>
          <w:caps w:val="0"/>
          <w:color w:val="000000"/>
          <w:spacing w:val="0"/>
          <w:sz w:val="28"/>
          <w:szCs w:val="28"/>
          <w:shd w:val="clear" w:fill="FFFFFF"/>
        </w:rPr>
        <w:t>万元。主要是</w:t>
      </w:r>
      <w:r>
        <w:rPr>
          <w:rStyle w:val="8"/>
          <w:rFonts w:hint="eastAsia" w:ascii="宋体" w:hAnsi="宋体" w:eastAsia="宋体" w:cs="宋体"/>
          <w:b w:val="0"/>
          <w:bCs/>
          <w:i w:val="0"/>
          <w:caps w:val="0"/>
          <w:color w:val="000000"/>
          <w:spacing w:val="0"/>
          <w:sz w:val="28"/>
          <w:szCs w:val="28"/>
          <w:shd w:val="clear" w:fill="FFFFFF"/>
          <w:lang w:eastAsia="zh-CN"/>
        </w:rPr>
        <w:t>今年将</w:t>
      </w:r>
      <w:r>
        <w:rPr>
          <w:rStyle w:val="8"/>
          <w:rFonts w:hint="eastAsia" w:ascii="宋体" w:hAnsi="宋体" w:eastAsia="宋体" w:cs="宋体"/>
          <w:b w:val="0"/>
          <w:bCs/>
          <w:i w:val="0"/>
          <w:caps w:val="0"/>
          <w:color w:val="000000"/>
          <w:spacing w:val="0"/>
          <w:sz w:val="28"/>
          <w:szCs w:val="28"/>
          <w:shd w:val="clear" w:fill="FFFFFF"/>
        </w:rPr>
        <w:t>公务交通补贴</w:t>
      </w:r>
      <w:r>
        <w:rPr>
          <w:rStyle w:val="8"/>
          <w:rFonts w:hint="eastAsia" w:ascii="宋体" w:hAnsi="宋体" w:eastAsia="宋体" w:cs="宋体"/>
          <w:b w:val="0"/>
          <w:bCs/>
          <w:i w:val="0"/>
          <w:caps w:val="0"/>
          <w:color w:val="000000"/>
          <w:spacing w:val="0"/>
          <w:sz w:val="28"/>
          <w:szCs w:val="28"/>
          <w:shd w:val="clear" w:fill="FFFFFF"/>
          <w:lang w:eastAsia="zh-CN"/>
        </w:rPr>
        <w:t>记</w:t>
      </w:r>
      <w:r>
        <w:rPr>
          <w:rStyle w:val="8"/>
          <w:rFonts w:hint="eastAsia" w:ascii="宋体" w:hAnsi="宋体" w:eastAsia="宋体" w:cs="宋体"/>
          <w:b w:val="0"/>
          <w:bCs/>
          <w:i w:val="0"/>
          <w:caps w:val="0"/>
          <w:color w:val="000000"/>
          <w:spacing w:val="0"/>
          <w:sz w:val="28"/>
          <w:szCs w:val="28"/>
          <w:shd w:val="clear" w:fill="FFFFFF"/>
        </w:rPr>
        <w:t>入人员经费。</w:t>
      </w:r>
      <w:r>
        <w:rPr>
          <w:rStyle w:val="8"/>
          <w:rFonts w:hint="eastAsia" w:ascii="宋体" w:hAnsi="宋体" w:eastAsia="宋体" w:cs="宋体"/>
          <w:b w:val="0"/>
          <w:bCs/>
          <w:i w:val="0"/>
          <w:caps w:val="0"/>
          <w:color w:val="000000"/>
          <w:spacing w:val="0"/>
          <w:sz w:val="28"/>
          <w:szCs w:val="28"/>
          <w:shd w:val="clear" w:fill="FFFFFF"/>
          <w:lang w:eastAsia="zh-CN"/>
        </w:rPr>
        <w:t>与</w:t>
      </w:r>
      <w:r>
        <w:rPr>
          <w:rStyle w:val="8"/>
          <w:rFonts w:hint="eastAsia" w:ascii="宋体" w:hAnsi="宋体" w:eastAsia="宋体" w:cs="宋体"/>
          <w:b w:val="0"/>
          <w:bCs/>
          <w:i w:val="0"/>
          <w:caps w:val="0"/>
          <w:color w:val="000000"/>
          <w:spacing w:val="0"/>
          <w:sz w:val="28"/>
          <w:szCs w:val="28"/>
          <w:shd w:val="clear" w:fill="FFFFFF"/>
          <w:lang w:val="en-US" w:eastAsia="zh-CN"/>
        </w:rPr>
        <w:t>2020年决算数3.8万元相比减少0.52万元，主要是2020年有支付聘用人员工资经费支出。</w:t>
      </w:r>
      <w:r>
        <w:rPr>
          <w:rStyle w:val="8"/>
          <w:rFonts w:hint="eastAsia" w:ascii="宋体" w:hAnsi="宋体" w:eastAsia="宋体" w:cs="宋体"/>
          <w:b w:val="0"/>
          <w:bCs/>
          <w:i w:val="0"/>
          <w:caps w:val="0"/>
          <w:color w:val="000000"/>
          <w:spacing w:val="0"/>
          <w:sz w:val="28"/>
          <w:szCs w:val="28"/>
          <w:shd w:val="clear" w:fill="FFFFFF"/>
        </w:rPr>
        <w:t>主要用于办公费0.29万元，电费0.43万元，邮电费0.29万元，差旅费0.09万元，维修（护）费0.1万元，工会经费1.45万元，福利费0.18万元，其他交通费0.01万元，其他商品和服务支出0.44万元。</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八、政府采购执行情况说明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2021年度我单位政府采购预算计划金额0.4万元，其中一般公共预算0.4万元，其他资金0万元；主要用于购买货物0.4万元，工程0万元，服务0万元。授予中小企业合同金额 0.4万元，占政府采购支出总额的 100%，其中：授予小微企业合同金额0.4万元，占政府采购支出总额的 100%。</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2021年度我单位政府实际采购金额5.98万元，其中一般公共预算5.98万元，其他资金0万元；主要用于购买货物5.98万元，工程0万元，服务0万元。授予中小企业合同金额 5.98 万元，占政府采购支出总额的 100%，其中：授予小微企业合同金额5.98万元，占政府采购支出总额的100%。</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政府采购支出总额5.98万元比2020年度4.48万元增加1.5万元，</w:t>
      </w:r>
      <w:r>
        <w:rPr>
          <w:rStyle w:val="8"/>
          <w:rFonts w:hint="eastAsia" w:ascii="宋体" w:hAnsi="宋体" w:eastAsia="宋体" w:cs="宋体"/>
          <w:b w:val="0"/>
          <w:bCs/>
          <w:i w:val="0"/>
          <w:caps w:val="0"/>
          <w:color w:val="000000"/>
          <w:spacing w:val="0"/>
          <w:sz w:val="28"/>
          <w:szCs w:val="28"/>
          <w:shd w:val="clear" w:fill="FFFFFF"/>
          <w:lang w:eastAsia="zh-CN"/>
        </w:rPr>
        <w:t>涨</w:t>
      </w:r>
      <w:r>
        <w:rPr>
          <w:rStyle w:val="8"/>
          <w:rFonts w:hint="eastAsia" w:ascii="宋体" w:hAnsi="宋体" w:eastAsia="宋体" w:cs="宋体"/>
          <w:b w:val="0"/>
          <w:bCs/>
          <w:i w:val="0"/>
          <w:caps w:val="0"/>
          <w:color w:val="000000"/>
          <w:spacing w:val="0"/>
          <w:sz w:val="28"/>
          <w:szCs w:val="28"/>
          <w:shd w:val="clear" w:fill="FFFFFF"/>
        </w:rPr>
        <w:t>幅33.48%，主要原因:今年办公设备购置费用</w:t>
      </w:r>
      <w:r>
        <w:rPr>
          <w:rStyle w:val="8"/>
          <w:rFonts w:hint="eastAsia" w:ascii="宋体" w:hAnsi="宋体" w:eastAsia="宋体" w:cs="宋体"/>
          <w:b w:val="0"/>
          <w:bCs/>
          <w:i w:val="0"/>
          <w:caps w:val="0"/>
          <w:color w:val="000000"/>
          <w:spacing w:val="0"/>
          <w:sz w:val="28"/>
          <w:szCs w:val="28"/>
          <w:shd w:val="clear" w:fill="FFFFFF"/>
          <w:lang w:eastAsia="zh-CN"/>
        </w:rPr>
        <w:t>增加</w:t>
      </w:r>
      <w:r>
        <w:rPr>
          <w:rStyle w:val="8"/>
          <w:rFonts w:hint="eastAsia" w:ascii="宋体" w:hAnsi="宋体" w:eastAsia="宋体" w:cs="宋体"/>
          <w:b w:val="0"/>
          <w:bCs/>
          <w:i w:val="0"/>
          <w:caps w:val="0"/>
          <w:color w:val="000000"/>
          <w:spacing w:val="0"/>
          <w:sz w:val="28"/>
          <w:szCs w:val="28"/>
          <w:shd w:val="clear" w:fill="FFFFFF"/>
        </w:rPr>
        <w:t>。</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九、国有资产占用情况说明</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eastAsia" w:ascii="宋体" w:hAnsi="宋体" w:eastAsia="宋体" w:cs="宋体"/>
          <w:b w:val="0"/>
          <w:bCs/>
          <w:i w:val="0"/>
          <w:caps w:val="0"/>
          <w:color w:val="000000"/>
          <w:spacing w:val="0"/>
          <w:sz w:val="28"/>
          <w:szCs w:val="28"/>
          <w:shd w:val="clear" w:fill="FFFFFF"/>
        </w:rPr>
        <w:t>2021年度我单位共占有车辆数0台，其中：一般公务用车0台，一般执法执勤车辆0台；单价50万元以上通用设备0台；单价100万元以上专用设备0台。其他固定资产（不包含房屋）37.11元。</w:t>
      </w:r>
      <w:r>
        <w:rPr>
          <w:rStyle w:val="8"/>
          <w:rFonts w:hint="eastAsia"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十、其他情况</w:t>
      </w:r>
    </w:p>
    <w:p w14:paraId="1C927E26">
      <w:pPr>
        <w:widowControl/>
        <w:spacing w:before="300"/>
        <w:ind w:firstLine="560" w:firstLineChars="200"/>
        <w:jc w:val="left"/>
        <w:rPr>
          <w:rStyle w:val="8"/>
          <w:rFonts w:hint="default" w:ascii="宋体" w:hAnsi="宋体" w:eastAsia="宋体" w:cs="宋体"/>
          <w:b w:val="0"/>
          <w:bCs/>
          <w:i w:val="0"/>
          <w:caps w:val="0"/>
          <w:color w:val="000000"/>
          <w:spacing w:val="0"/>
          <w:sz w:val="28"/>
          <w:szCs w:val="28"/>
          <w:shd w:val="clear" w:fill="FFFFFF"/>
        </w:rPr>
      </w:pPr>
      <w:r>
        <w:rPr>
          <w:rStyle w:val="8"/>
          <w:rFonts w:hint="default" w:ascii="宋体" w:hAnsi="宋体" w:eastAsia="宋体" w:cs="宋体"/>
          <w:b w:val="0"/>
          <w:bCs/>
          <w:i w:val="0"/>
          <w:caps w:val="0"/>
          <w:color w:val="000000"/>
          <w:spacing w:val="0"/>
          <w:sz w:val="28"/>
          <w:szCs w:val="28"/>
          <w:shd w:val="clear" w:fill="FFFFFF"/>
        </w:rPr>
        <w:t>我单位无举借政府债务情况、无扶贫专项资金情况、无政府性基金预算收支情况、无财政专项支出情况、无专项转移支付情况。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十一、预算绩效工作开展情况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（一）预算绩效管理工作开展情况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w:t>
      </w:r>
      <w:r>
        <w:rPr>
          <w:rStyle w:val="8"/>
          <w:rFonts w:hint="default" w:ascii="宋体" w:hAnsi="宋体" w:eastAsia="宋体" w:cs="宋体"/>
          <w:b w:val="0"/>
          <w:bCs/>
          <w:i w:val="0"/>
          <w:caps w:val="0"/>
          <w:color w:val="000000"/>
          <w:spacing w:val="0"/>
          <w:sz w:val="28"/>
          <w:szCs w:val="28"/>
          <w:shd w:val="clear" w:fill="FFFFFF"/>
        </w:rPr>
        <w:t>根据预算绩效管理要求，我单位组织对2021年度一般公共预算项目支出全面开展绩效自评，共涉及项目2个，资金66万元（其中：一般公共预算拨款66万元，其他资金0万元，上年结余结转0万元），占一般公共预算项目支出总额的100%。从评价情况来看，2021年各项目绩效目标基本完成，项目立项程序完整、规范，绩效目标明确。预算编制合理，预算执行及时、有效；项目支出绩效自评结果较好，绩效管理水平不断提高，绩效指标体系建设逐渐丰富和完善。</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  组织开展了部门整体支出绩效评价工作，从评价情况来看，2021年我局较好地履行了统计部门的职能，整体支出资金严格按照相关法律法规、规范性文件的要求进行支出，预算执行总额控制在年初预算批复和预算追加额度内且有结余；产出情况良好，各项工作在预定时间内及时实施完成，绝大部分产出指标的指标值已达到年初设定目标值；项目实施效果比较明显，绝大部分效益指标的指标值已达到年初设定目标值。</w:t>
      </w:r>
    </w:p>
    <w:tbl>
      <w:tblPr>
        <w:tblStyle w:val="6"/>
        <w:tblW w:w="9585" w:type="dxa"/>
        <w:tblInd w:w="0" w:type="dxa"/>
        <w:shd w:val="clear" w:color="auto" w:fill="auto"/>
        <w:tblLayout w:type="autofit"/>
        <w:tblCellMar>
          <w:top w:w="0" w:type="dxa"/>
          <w:left w:w="0" w:type="dxa"/>
          <w:bottom w:w="0" w:type="dxa"/>
          <w:right w:w="0" w:type="dxa"/>
        </w:tblCellMar>
      </w:tblPr>
      <w:tblGrid>
        <w:gridCol w:w="647"/>
        <w:gridCol w:w="624"/>
        <w:gridCol w:w="768"/>
        <w:gridCol w:w="405"/>
        <w:gridCol w:w="2444"/>
        <w:gridCol w:w="2564"/>
        <w:gridCol w:w="660"/>
        <w:gridCol w:w="678"/>
        <w:gridCol w:w="795"/>
      </w:tblGrid>
      <w:tr w14:paraId="5B552850">
        <w:tblPrEx>
          <w:shd w:val="clear" w:color="auto" w:fill="auto"/>
          <w:tblCellMar>
            <w:top w:w="0" w:type="dxa"/>
            <w:left w:w="0" w:type="dxa"/>
            <w:bottom w:w="0" w:type="dxa"/>
            <w:right w:w="0" w:type="dxa"/>
          </w:tblCellMar>
        </w:tblPrEx>
        <w:trPr>
          <w:trHeight w:val="560" w:hRule="atLeast"/>
        </w:trPr>
        <w:tc>
          <w:tcPr>
            <w:tcW w:w="9588" w:type="dxa"/>
            <w:gridSpan w:val="9"/>
            <w:tcBorders>
              <w:top w:val="nil"/>
              <w:left w:val="nil"/>
              <w:bottom w:val="nil"/>
              <w:right w:val="nil"/>
            </w:tcBorders>
            <w:shd w:val="clear" w:color="auto" w:fill="FFFFFF"/>
            <w:tcMar>
              <w:top w:w="15" w:type="dxa"/>
              <w:left w:w="15" w:type="dxa"/>
              <w:right w:w="15" w:type="dxa"/>
            </w:tcMar>
            <w:vAlign w:val="center"/>
          </w:tcPr>
          <w:p w14:paraId="45C3ACA7">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2021年下陆区部门整体支出绩效自评表</w:t>
            </w:r>
          </w:p>
        </w:tc>
      </w:tr>
      <w:tr w14:paraId="24627EFC">
        <w:tblPrEx>
          <w:shd w:val="clear" w:color="auto" w:fill="auto"/>
          <w:tblCellMar>
            <w:top w:w="0" w:type="dxa"/>
            <w:left w:w="0" w:type="dxa"/>
            <w:bottom w:w="0" w:type="dxa"/>
            <w:right w:w="0" w:type="dxa"/>
          </w:tblCellMar>
        </w:tblPrEx>
        <w:trPr>
          <w:trHeight w:val="780"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A0DA7">
            <w:pPr>
              <w:keepNext w:val="0"/>
              <w:keepLines w:val="0"/>
              <w:widowControl/>
              <w:suppressLineNumbers w:val="0"/>
              <w:jc w:val="left"/>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填报单位（盖章）：</w:t>
            </w:r>
          </w:p>
        </w:tc>
        <w:tc>
          <w:tcPr>
            <w:tcW w:w="361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486D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黄石市下陆区统计局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F4A7D7">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填报日期：</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0579B">
            <w:pPr>
              <w:jc w:val="center"/>
              <w:rPr>
                <w:rFonts w:hint="eastAsia" w:ascii="仿宋_GB2312" w:hAnsi="宋体" w:eastAsia="仿宋_GB2312" w:cs="仿宋_GB2312"/>
                <w:i w:val="0"/>
                <w:color w:val="000000"/>
                <w:sz w:val="24"/>
                <w:szCs w:val="24"/>
                <w:u w:val="none"/>
              </w:rPr>
            </w:pPr>
          </w:p>
        </w:tc>
      </w:tr>
      <w:tr w14:paraId="3E56CEB1">
        <w:tblPrEx>
          <w:shd w:val="clear" w:color="auto" w:fill="auto"/>
          <w:tblCellMar>
            <w:top w:w="0" w:type="dxa"/>
            <w:left w:w="0" w:type="dxa"/>
            <w:bottom w:w="0" w:type="dxa"/>
            <w:right w:w="0" w:type="dxa"/>
          </w:tblCellMar>
        </w:tblPrEx>
        <w:trPr>
          <w:trHeight w:val="600" w:hRule="atLeast"/>
        </w:trPr>
        <w:tc>
          <w:tcPr>
            <w:tcW w:w="127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674A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单位名称</w:t>
            </w:r>
          </w:p>
        </w:tc>
        <w:tc>
          <w:tcPr>
            <w:tcW w:w="6183"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D4A8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黄石市下陆区统计局</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166F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评价年度</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59EF7">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2021年</w:t>
            </w:r>
          </w:p>
        </w:tc>
      </w:tr>
      <w:tr w14:paraId="21BC19D5">
        <w:tblPrEx>
          <w:shd w:val="clear" w:color="auto" w:fill="auto"/>
          <w:tblCellMar>
            <w:top w:w="0" w:type="dxa"/>
            <w:left w:w="0" w:type="dxa"/>
            <w:bottom w:w="0" w:type="dxa"/>
            <w:right w:w="0" w:type="dxa"/>
          </w:tblCellMar>
        </w:tblPrEx>
        <w:trPr>
          <w:trHeight w:val="435" w:hRule="atLeast"/>
        </w:trPr>
        <w:tc>
          <w:tcPr>
            <w:tcW w:w="244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EFBBF">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基本支出决算数总额</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67319">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98.44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4C56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项目支出决算数总额</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71ABB">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91.37</w:t>
            </w:r>
          </w:p>
        </w:tc>
      </w:tr>
      <w:tr w14:paraId="3212CB58">
        <w:tblPrEx>
          <w:shd w:val="clear" w:color="auto" w:fill="auto"/>
          <w:tblCellMar>
            <w:top w:w="0" w:type="dxa"/>
            <w:left w:w="0" w:type="dxa"/>
            <w:bottom w:w="0" w:type="dxa"/>
            <w:right w:w="0" w:type="dxa"/>
          </w:tblCellMar>
        </w:tblPrEx>
        <w:trPr>
          <w:trHeight w:val="495" w:hRule="atLeast"/>
        </w:trPr>
        <w:tc>
          <w:tcPr>
            <w:tcW w:w="2445"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3A49A">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部门整体支出总额预算执行情况（万元）</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5E4B3">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执行数（A）</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FDBF2">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预算数（B）</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F3524">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执行率（A/B）</w:t>
            </w:r>
          </w:p>
        </w:tc>
      </w:tr>
      <w:tr w14:paraId="2EC333CE">
        <w:tblPrEx>
          <w:shd w:val="clear" w:color="auto" w:fill="auto"/>
          <w:tblCellMar>
            <w:top w:w="0" w:type="dxa"/>
            <w:left w:w="0" w:type="dxa"/>
            <w:bottom w:w="0" w:type="dxa"/>
            <w:right w:w="0" w:type="dxa"/>
          </w:tblCellMar>
        </w:tblPrEx>
        <w:trPr>
          <w:trHeight w:val="400" w:hRule="atLeast"/>
        </w:trPr>
        <w:tc>
          <w:tcPr>
            <w:tcW w:w="2445"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8BB50">
            <w:pPr>
              <w:jc w:val="center"/>
              <w:rPr>
                <w:rFonts w:hint="eastAsia" w:ascii="仿宋_GB2312" w:hAnsi="宋体" w:eastAsia="仿宋_GB2312" w:cs="仿宋_GB2312"/>
                <w:i w:val="0"/>
                <w:color w:val="000000"/>
                <w:sz w:val="20"/>
                <w:szCs w:val="20"/>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5CD50D">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189.81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A3FBC">
            <w:pPr>
              <w:keepNext w:val="0"/>
              <w:keepLines w:val="0"/>
              <w:widowControl/>
              <w:suppressLineNumbers w:val="0"/>
              <w:jc w:val="righ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158.27</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8A602">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119.93%</w:t>
            </w:r>
          </w:p>
        </w:tc>
      </w:tr>
      <w:tr w14:paraId="3AB05979">
        <w:tblPrEx>
          <w:shd w:val="clear" w:color="auto" w:fill="auto"/>
          <w:tblCellMar>
            <w:top w:w="0" w:type="dxa"/>
            <w:left w:w="0" w:type="dxa"/>
            <w:bottom w:w="0" w:type="dxa"/>
            <w:right w:w="0" w:type="dxa"/>
          </w:tblCellMar>
        </w:tblPrEx>
        <w:trPr>
          <w:trHeight w:val="920" w:hRule="atLeast"/>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D371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指标</w:t>
            </w:r>
          </w:p>
        </w:tc>
        <w:tc>
          <w:tcPr>
            <w:tcW w:w="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70FC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指标</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5C72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942C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分值</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C739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指标说明</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D8DB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评分标准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0142E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年初目标值</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E8A0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实际完成值</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9E52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14:paraId="6DB61542">
        <w:tblPrEx>
          <w:shd w:val="clear" w:color="auto" w:fill="auto"/>
          <w:tblCellMar>
            <w:top w:w="0" w:type="dxa"/>
            <w:left w:w="0" w:type="dxa"/>
            <w:bottom w:w="0" w:type="dxa"/>
            <w:right w:w="0" w:type="dxa"/>
          </w:tblCellMar>
        </w:tblPrEx>
        <w:trPr>
          <w:trHeight w:val="326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0A6E4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投入</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552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预算执行（35分）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64D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完成率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6C79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D45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预算完成率=（预算完成数/预算数）×100%，用以反映和考核部门（单位）预算完成程度。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预算完成数：部门（单位）本年度实际完成的预算数。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预算数：财政部门批复的本年度部门（单位）预算数。</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78AF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预算完成率＝100%的，得10分。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预算完成率≥95%的，得9分。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预算完成率在90%（含）和95%之间，得8分。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预算完成率在85%（含）和90%之间，得7分。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预算完成率在80%（含）和85%之间，得6分。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预算完成率在70%（含）和80%之间，得4分。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预算完成率＜70%的，得0分。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F45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F73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189.81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27A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1923C3BC">
        <w:tblPrEx>
          <w:shd w:val="clear" w:color="auto" w:fill="auto"/>
          <w:tblCellMar>
            <w:top w:w="0" w:type="dxa"/>
            <w:left w:w="0" w:type="dxa"/>
            <w:bottom w:w="0" w:type="dxa"/>
            <w:right w:w="0" w:type="dxa"/>
          </w:tblCellMar>
        </w:tblPrEx>
        <w:trPr>
          <w:trHeight w:val="34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ECF817">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30499">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6AF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2C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D05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预算调整率=（预算调整数/预算数）×100%，用以反映和考核部门（单位）预算的调整程度。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预算包括一般公共预算与政府性基金预算。</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774A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预算调整率绝对值≤5%，得10分。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预算调整率绝对值＞5%的，每增加0.1个百分点扣0.1分，扣完为止。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61C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143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189.81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904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14:paraId="32FD8979">
        <w:tblPrEx>
          <w:shd w:val="clear" w:color="auto" w:fill="auto"/>
          <w:tblCellMar>
            <w:top w:w="0" w:type="dxa"/>
            <w:left w:w="0" w:type="dxa"/>
            <w:bottom w:w="0" w:type="dxa"/>
            <w:right w:w="0" w:type="dxa"/>
          </w:tblCellMar>
        </w:tblPrEx>
        <w:trPr>
          <w:trHeight w:val="338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7CCD673">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02012">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75B1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支出进度率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448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45B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支出进度率=（实际支出/支出预算）×100%，用以反映和考核部门（单位）预算执行的及时性和均衡性程度。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半年支出进度＝部门上半年实际支出/（上年结余结转+本年部门预算安排+上半年执行中追加追减）*100%。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A23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半年进度：进度率≥45%，得4分；进度率在40%（含）和45%之间，得2分；进度率＜40%，得0分。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前三季度进度：进度率≥75%，得6分；进度率在60%（含）和75%之间，得4分；进度率＜60%，得0分。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9EA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158.27</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9DD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189.81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1AE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14:paraId="4F85F6E8">
        <w:tblPrEx>
          <w:shd w:val="clear" w:color="auto" w:fill="auto"/>
          <w:tblCellMar>
            <w:top w:w="0" w:type="dxa"/>
            <w:left w:w="0" w:type="dxa"/>
            <w:bottom w:w="0" w:type="dxa"/>
            <w:right w:w="0" w:type="dxa"/>
          </w:tblCellMar>
        </w:tblPrEx>
        <w:trPr>
          <w:trHeight w:val="1780" w:hRule="atLeast"/>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4E0630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投入</w:t>
            </w:r>
          </w:p>
        </w:tc>
        <w:tc>
          <w:tcPr>
            <w:tcW w:w="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B8E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预算执行（35分）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2826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预算编制准确率（5分）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3DA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1B5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部门预算中除财政拨款外的其他收入预算与决算差异率。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预算编制准确率＝其他收入决算数/其他收入预算数×100%-100%。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A5F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预算编制准确率≤20%，得5分。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预算编制准确率在20%和40%（含）之间，得3分。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预算编制准确率＞40%，得0分。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4487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E7E4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F46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72961947">
        <w:tblPrEx>
          <w:shd w:val="clear" w:color="auto" w:fill="auto"/>
          <w:tblCellMar>
            <w:top w:w="0" w:type="dxa"/>
            <w:left w:w="0" w:type="dxa"/>
            <w:bottom w:w="0" w:type="dxa"/>
            <w:right w:w="0" w:type="dxa"/>
          </w:tblCellMar>
        </w:tblPrEx>
        <w:trPr>
          <w:trHeight w:val="150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EB73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过程</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C7F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预算管理（20分）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EB60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947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86CC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E70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三公经费控制率 ≤100%，得5分，每增加0.1个百分点扣0.5分，扣完为止。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301F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4D6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EE7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70AD287F">
        <w:tblPrEx>
          <w:shd w:val="clear" w:color="auto" w:fill="auto"/>
          <w:tblCellMar>
            <w:top w:w="0" w:type="dxa"/>
            <w:left w:w="0" w:type="dxa"/>
            <w:bottom w:w="0" w:type="dxa"/>
            <w:right w:w="0" w:type="dxa"/>
          </w:tblCellMar>
        </w:tblPrEx>
        <w:trPr>
          <w:trHeight w:val="240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09E3D804">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E8F234">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047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资产管理规范性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E55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2F3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部门（单位）资产管理是否规范，用以反映和考核部门（单位）资产管理情况。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1.新增资产配置按预算执行。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2.资产有偿使用、处置按规定程序审批。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3.资产收益及时、足额上缴财政。</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E2F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全部符合5分，有1项不符扣2分,扣完为止。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EE5B1">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65A6A">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D013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6CB20CED">
        <w:tblPrEx>
          <w:shd w:val="clear" w:color="auto" w:fill="auto"/>
          <w:tblCellMar>
            <w:top w:w="0" w:type="dxa"/>
            <w:left w:w="0" w:type="dxa"/>
            <w:bottom w:w="0" w:type="dxa"/>
            <w:right w:w="0" w:type="dxa"/>
          </w:tblCellMar>
        </w:tblPrEx>
        <w:trPr>
          <w:trHeight w:val="398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extDirection w:val="tbRlV"/>
            <w:vAlign w:val="center"/>
          </w:tcPr>
          <w:p w14:paraId="5CBACE73">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D56CF0">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9AE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资金使用合规性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550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67D7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1.符合国家财经法规和财务管理制度规定以及有关专项资金管理办法的规定；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2.资金的拨付有完整的审批程序和手续；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3.重大项目开支经过评估论证；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4.符合部门预算批复的用途；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5.不存在截留、挤占、挪用、虚列支出等情况。</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6BC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全部符合10分,有1项不符扣2分，扣完为止。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EF9E0">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0B0B5">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897A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6EE38E92">
        <w:tblPrEx>
          <w:shd w:val="clear" w:color="auto" w:fill="auto"/>
          <w:tblCellMar>
            <w:top w:w="0" w:type="dxa"/>
            <w:left w:w="0" w:type="dxa"/>
            <w:bottom w:w="0" w:type="dxa"/>
            <w:right w:w="0" w:type="dxa"/>
          </w:tblCellMar>
        </w:tblPrEx>
        <w:trPr>
          <w:trHeight w:val="118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BE2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果</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50D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运行效益（45分）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847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行政运行经济性</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AC0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442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现行行政运行经费支出预算编制方法的行政运行成本。</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64F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可使行政运行成本最经济为5分，可使行政运行成本较合理为3分，一般为2分，不合理为0分。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2DABE">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5AB9E5">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182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401BB188">
        <w:tblPrEx>
          <w:shd w:val="clear" w:color="auto" w:fill="auto"/>
          <w:tblCellMar>
            <w:top w:w="0" w:type="dxa"/>
            <w:left w:w="0" w:type="dxa"/>
            <w:bottom w:w="0" w:type="dxa"/>
            <w:right w:w="0" w:type="dxa"/>
          </w:tblCellMar>
        </w:tblPrEx>
        <w:trPr>
          <w:trHeight w:val="9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2CF96">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33425">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65C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行政运行有效性</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566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2CC1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行政运行经费支出能否保障部门正常运行。</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22CB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正常运行的得5分，基本正常得3分，不能正常运行的不得分。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516A4">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31D7D">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B9C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3749F656">
        <w:tblPrEx>
          <w:shd w:val="clear" w:color="auto" w:fill="auto"/>
          <w:tblCellMar>
            <w:top w:w="0" w:type="dxa"/>
            <w:left w:w="0" w:type="dxa"/>
            <w:bottom w:w="0" w:type="dxa"/>
            <w:right w:w="0" w:type="dxa"/>
          </w:tblCellMar>
        </w:tblPrEx>
        <w:trPr>
          <w:trHeight w:val="7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33DF9">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1A065">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039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专项运行经济效益</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466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ED1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项目资金运行产生的经济效益</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396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经济效益显著得10分；一般得5分，下降不得分。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15C32">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3C550">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B85A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14:paraId="00B01CDF">
        <w:tblPrEx>
          <w:shd w:val="clear" w:color="auto" w:fill="auto"/>
          <w:tblCellMar>
            <w:top w:w="0" w:type="dxa"/>
            <w:left w:w="0" w:type="dxa"/>
            <w:bottom w:w="0" w:type="dxa"/>
            <w:right w:w="0" w:type="dxa"/>
          </w:tblCellMar>
        </w:tblPrEx>
        <w:trPr>
          <w:trHeight w:val="78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2A6066">
            <w:pPr>
              <w:jc w:val="center"/>
              <w:rPr>
                <w:rFonts w:hint="eastAsia" w:ascii="宋体" w:hAnsi="宋体" w:eastAsia="宋体" w:cs="宋体"/>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51E30">
            <w:pPr>
              <w:jc w:val="center"/>
              <w:rPr>
                <w:rFonts w:hint="eastAsia" w:ascii="宋体" w:hAnsi="宋体" w:eastAsia="宋体" w:cs="宋体"/>
                <w:i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683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专项运行社会效益</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4AD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0E8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项目资金运行产生的社会效益</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974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社会效益显著得10分；一般得5分；否则不得分。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052A80">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D929F">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BF6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14:paraId="69784526">
        <w:tblPrEx>
          <w:shd w:val="clear" w:color="auto" w:fill="auto"/>
          <w:tblCellMar>
            <w:top w:w="0" w:type="dxa"/>
            <w:left w:w="0" w:type="dxa"/>
            <w:bottom w:w="0" w:type="dxa"/>
            <w:right w:w="0" w:type="dxa"/>
          </w:tblCellMar>
        </w:tblPrEx>
        <w:trPr>
          <w:trHeight w:val="2020" w:hRule="atLeast"/>
        </w:trPr>
        <w:tc>
          <w:tcPr>
            <w:tcW w:w="6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2B5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果</w:t>
            </w:r>
          </w:p>
        </w:tc>
        <w:tc>
          <w:tcPr>
            <w:tcW w:w="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991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运行效益（45分）</w:t>
            </w:r>
          </w:p>
        </w:tc>
        <w:tc>
          <w:tcPr>
            <w:tcW w:w="7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F5D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专项运行可持续影响</w:t>
            </w:r>
          </w:p>
        </w:tc>
        <w:tc>
          <w:tcPr>
            <w:tcW w:w="4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A28A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4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88D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1.项目完成后有经费安排能满足项目持续运行需要；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2.项目完成后有制度保障项目持续运行需要；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3.项目完成后有明确的项目管理机构、负责人对项目后继管理负责，满足持续运行需要。</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061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全部符合15分,有1项不符扣5分，扣完为止。</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E01A5">
            <w:pPr>
              <w:rPr>
                <w:rFonts w:hint="eastAsia" w:ascii="宋体" w:hAnsi="宋体" w:eastAsia="宋体" w:cs="宋体"/>
                <w:i w:val="0"/>
                <w:color w:val="000000"/>
                <w:sz w:val="20"/>
                <w:szCs w:val="20"/>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03A0D">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4896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r>
      <w:tr w14:paraId="58B64561">
        <w:tblPrEx>
          <w:shd w:val="clear" w:color="auto" w:fill="auto"/>
          <w:tblCellMar>
            <w:top w:w="0" w:type="dxa"/>
            <w:left w:w="0" w:type="dxa"/>
            <w:bottom w:w="0" w:type="dxa"/>
            <w:right w:w="0" w:type="dxa"/>
          </w:tblCellMar>
        </w:tblPrEx>
        <w:trPr>
          <w:trHeight w:val="500" w:hRule="atLeast"/>
        </w:trPr>
        <w:tc>
          <w:tcPr>
            <w:tcW w:w="745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AE67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评价结论（优、良、中、差）：</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FC67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总分</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5E37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r>
    </w:tbl>
    <w:p w14:paraId="4D88E386">
      <w:pPr>
        <w:widowControl/>
        <w:spacing w:before="300"/>
        <w:jc w:val="left"/>
        <w:rPr>
          <w:rStyle w:val="8"/>
          <w:rFonts w:hint="default" w:ascii="宋体" w:hAnsi="宋体" w:eastAsia="宋体" w:cs="宋体"/>
          <w:b w:val="0"/>
          <w:bCs/>
          <w:i w:val="0"/>
          <w:caps w:val="0"/>
          <w:color w:val="000000"/>
          <w:spacing w:val="0"/>
          <w:sz w:val="28"/>
          <w:szCs w:val="28"/>
          <w:shd w:val="clear" w:fill="FFFFFF"/>
        </w:rPr>
      </w:pP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（二）部门决算中项目绩效自评结果</w:t>
      </w:r>
      <w:r>
        <w:rPr>
          <w:rStyle w:val="8"/>
          <w:rFonts w:hint="default" w:ascii="Arial" w:hAnsi="Arial" w:eastAsia="宋体" w:cs="Arial"/>
          <w:i w:val="0"/>
          <w:caps w:val="0"/>
          <w:color w:val="000000"/>
          <w:spacing w:val="0"/>
          <w:sz w:val="27"/>
          <w:szCs w:val="27"/>
          <w:shd w:val="clear" w:fill="FFFFFF"/>
        </w:rPr>
        <w:br w:type="textWrapping"/>
      </w:r>
      <w:r>
        <w:rPr>
          <w:rStyle w:val="8"/>
          <w:rFonts w:hint="eastAsia" w:ascii="Arial" w:hAnsi="Arial" w:eastAsia="宋体" w:cs="Arial"/>
          <w:i w:val="0"/>
          <w:caps w:val="0"/>
          <w:color w:val="000000"/>
          <w:spacing w:val="0"/>
          <w:sz w:val="27"/>
          <w:szCs w:val="27"/>
          <w:shd w:val="clear" w:fill="FFFFFF"/>
          <w:lang w:val="en-US" w:eastAsia="zh-CN"/>
        </w:rPr>
        <w:t xml:space="preserve"> </w:t>
      </w:r>
      <w:r>
        <w:rPr>
          <w:rStyle w:val="8"/>
          <w:rFonts w:hint="default" w:ascii="Arial" w:hAnsi="Arial" w:eastAsia="宋体" w:cs="Arial"/>
          <w:i w:val="0"/>
          <w:caps w:val="0"/>
          <w:color w:val="000000"/>
          <w:spacing w:val="0"/>
          <w:sz w:val="27"/>
          <w:szCs w:val="27"/>
          <w:shd w:val="clear" w:fill="FFFFFF"/>
        </w:rPr>
        <w:t>1.第七次全国人口普查经费绩效自评</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w:t>
      </w:r>
      <w:r>
        <w:rPr>
          <w:rStyle w:val="8"/>
          <w:rFonts w:hint="default" w:ascii="宋体" w:hAnsi="宋体" w:eastAsia="宋体" w:cs="宋体"/>
          <w:b w:val="0"/>
          <w:bCs/>
          <w:i w:val="0"/>
          <w:caps w:val="0"/>
          <w:color w:val="000000"/>
          <w:spacing w:val="0"/>
          <w:sz w:val="28"/>
          <w:szCs w:val="28"/>
          <w:shd w:val="clear" w:fill="FFFFFF"/>
        </w:rPr>
        <w:t>项目全年预算数为30万元，其中：一般公共预算财政拨款30元。执行数为30万元，完成预算100%。</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主要产出和效益：第七次全国人口普查是在中国特色社会主义进入新时代开展的重大国情国力调查，将全面查清我国人口数量、结构、分布、城乡住房等方面情况，为完善人口发展战略和政策体系，促进人口长期均衡发展，科学制定国民经济和社会发展规划，推动经济高质量发展，开启全面建设社会主义现代化国家新征程，向第二个百年奋斗目标进军，提供科学准确的统计信息支持。普查对象是普查标准时点在中华人民共和国境内的自然人以及在中华人民共和国境外但未定居的中国公民，不包括在中华人民共和国境内短期停留的境外人员。普查主要调查人口和住户的基本情况，内容包括：姓名、公民身份号码、性别、年龄、民族、受教育程度、行业、职业、迁移流动、婚姻生育、死亡、住房情况等。二是完成入户调查率100%；三是检验统计数据公信力为100%；四是为部门单位提供统计数据00%；五是为各单位提供提供人口数量、结构、分布、住房等数据；六是群众满意，无居民举报、上访等事件发生。</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default" w:ascii="宋体" w:hAnsi="宋体" w:eastAsia="宋体" w:cs="宋体"/>
          <w:b w:val="0"/>
          <w:bCs/>
          <w:i w:val="0"/>
          <w:caps w:val="0"/>
          <w:color w:val="000000"/>
          <w:spacing w:val="0"/>
          <w:sz w:val="28"/>
          <w:szCs w:val="28"/>
          <w:shd w:val="clear" w:fill="FFFFFF"/>
        </w:rPr>
        <w:t>发现的问题及原因：绩效评价指标体系有待进一步完善，项目经费安排与年度工作计划需更加精准。</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下一步改进措施：结合以往年度实际情况，科学测算相关工作经费预算，进一步提高预算编制的准确性。</w:t>
      </w:r>
    </w:p>
    <w:p w14:paraId="79FA6256">
      <w:pPr>
        <w:widowControl/>
        <w:spacing w:before="300"/>
        <w:ind w:firstLine="562" w:firstLineChars="200"/>
        <w:jc w:val="center"/>
        <w:rPr>
          <w:rStyle w:val="8"/>
          <w:rFonts w:hint="eastAsia" w:ascii="宋体" w:hAnsi="宋体" w:cs="宋体" w:eastAsiaTheme="minorEastAsia"/>
          <w:b/>
          <w:bCs/>
          <w:i w:val="0"/>
          <w:caps w:val="0"/>
          <w:color w:val="000000"/>
          <w:spacing w:val="0"/>
          <w:sz w:val="28"/>
          <w:szCs w:val="28"/>
          <w:shd w:val="clear" w:fill="FFFFFF"/>
          <w:lang w:eastAsia="zh-CN"/>
        </w:rPr>
      </w:pPr>
      <w:r>
        <w:rPr>
          <w:rFonts w:hint="eastAsia" w:ascii="Arial"/>
          <w:b/>
          <w:bCs/>
          <w:sz w:val="28"/>
          <w:szCs w:val="28"/>
        </w:rPr>
        <w:t>第七次全国人口普查</w:t>
      </w:r>
      <w:r>
        <w:rPr>
          <w:rFonts w:hint="eastAsia" w:ascii="Arial"/>
          <w:b/>
          <w:bCs/>
          <w:sz w:val="28"/>
          <w:szCs w:val="28"/>
          <w:lang w:eastAsia="zh-CN"/>
        </w:rPr>
        <w:t>项目自评表</w:t>
      </w:r>
    </w:p>
    <w:tbl>
      <w:tblPr>
        <w:tblStyle w:val="12"/>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1119"/>
        <w:gridCol w:w="1329"/>
        <w:gridCol w:w="949"/>
        <w:gridCol w:w="441"/>
        <w:gridCol w:w="1386"/>
        <w:gridCol w:w="689"/>
        <w:gridCol w:w="629"/>
        <w:gridCol w:w="884"/>
      </w:tblGrid>
      <w:tr w14:paraId="0F8B9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2A507980">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8"/>
            <w:noWrap w:val="0"/>
            <w:vAlign w:val="center"/>
          </w:tcPr>
          <w:p w14:paraId="6F20EBC4">
            <w:pPr>
              <w:jc w:val="center"/>
              <w:rPr>
                <w:rFonts w:ascii="Arial"/>
                <w:sz w:val="21"/>
              </w:rPr>
            </w:pPr>
            <w:r>
              <w:rPr>
                <w:rFonts w:hint="eastAsia" w:ascii="Arial"/>
                <w:sz w:val="21"/>
              </w:rPr>
              <w:t>第七次全国人口普查</w:t>
            </w:r>
          </w:p>
        </w:tc>
      </w:tr>
      <w:tr w14:paraId="6434C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4D018986">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3"/>
            <w:noWrap w:val="0"/>
            <w:vAlign w:val="center"/>
          </w:tcPr>
          <w:p w14:paraId="4E3DA672">
            <w:pPr>
              <w:jc w:val="center"/>
              <w:rPr>
                <w:rFonts w:ascii="Arial"/>
                <w:sz w:val="21"/>
              </w:rPr>
            </w:pPr>
            <w:r>
              <w:rPr>
                <w:rFonts w:hint="eastAsia" w:ascii="Arial"/>
                <w:sz w:val="21"/>
              </w:rPr>
              <w:t>下陆区统计局</w:t>
            </w:r>
          </w:p>
        </w:tc>
        <w:tc>
          <w:tcPr>
            <w:tcW w:w="2516" w:type="dxa"/>
            <w:gridSpan w:val="3"/>
            <w:noWrap w:val="0"/>
            <w:vAlign w:val="top"/>
          </w:tcPr>
          <w:p w14:paraId="7A76BD77">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60602319">
            <w:pPr>
              <w:rPr>
                <w:rFonts w:ascii="Arial"/>
                <w:sz w:val="21"/>
              </w:rPr>
            </w:pPr>
            <w:r>
              <w:rPr>
                <w:rFonts w:hint="eastAsia" w:ascii="Arial"/>
                <w:sz w:val="21"/>
              </w:rPr>
              <w:t>下陆区统计局</w:t>
            </w:r>
          </w:p>
        </w:tc>
      </w:tr>
      <w:tr w14:paraId="4338A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1B1F8093">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8"/>
            <w:noWrap w:val="0"/>
            <w:vAlign w:val="top"/>
          </w:tcPr>
          <w:p w14:paraId="3AB44465">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 xml:space="preserve">      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1EAF4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014BA738">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8"/>
            <w:noWrap w:val="0"/>
            <w:vAlign w:val="top"/>
          </w:tcPr>
          <w:p w14:paraId="705EA981">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2、新增性项目</w:t>
            </w:r>
            <w:r>
              <w:rPr>
                <w:rFonts w:hint="eastAsia" w:ascii="宋体" w:hAnsi="宋体" w:eastAsia="宋体" w:cs="宋体"/>
                <w:spacing w:val="4"/>
                <w:sz w:val="22"/>
                <w:szCs w:val="22"/>
                <w:lang w:eastAsia="zh-CN"/>
              </w:rPr>
              <w:t>☑</w:t>
            </w:r>
          </w:p>
        </w:tc>
      </w:tr>
      <w:tr w14:paraId="56C47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2A1EB31E">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8"/>
            <w:noWrap w:val="0"/>
            <w:vAlign w:val="top"/>
          </w:tcPr>
          <w:p w14:paraId="4EF74CE3">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sym w:font="Wingdings 2" w:char="00A3"/>
            </w:r>
            <w:r>
              <w:rPr>
                <w:rFonts w:ascii="宋体" w:hAnsi="宋体" w:eastAsia="宋体" w:cs="宋体"/>
                <w:spacing w:val="4"/>
                <w:sz w:val="22"/>
                <w:szCs w:val="22"/>
              </w:rPr>
              <w:t xml:space="preserve">        2、延续性项目</w:t>
            </w:r>
            <w:r>
              <w:rPr>
                <w:rFonts w:hint="eastAsia" w:ascii="宋体" w:hAnsi="宋体" w:eastAsia="宋体" w:cs="宋体"/>
                <w:spacing w:val="4"/>
                <w:sz w:val="22"/>
                <w:szCs w:val="22"/>
                <w:lang w:eastAsia="zh-CN"/>
              </w:rPr>
              <w:sym w:font="Wingdings 2" w:char="0052"/>
            </w:r>
            <w:r>
              <w:rPr>
                <w:rFonts w:ascii="宋体" w:hAnsi="宋体" w:eastAsia="宋体" w:cs="宋体"/>
                <w:spacing w:val="4"/>
                <w:sz w:val="22"/>
                <w:szCs w:val="22"/>
              </w:rPr>
              <w:t xml:space="preserve">       3、 一次性项目</w:t>
            </w:r>
            <w:r>
              <w:rPr>
                <w:rFonts w:hint="eastAsia" w:ascii="宋体" w:hAnsi="宋体" w:eastAsia="宋体" w:cs="宋体"/>
                <w:spacing w:val="4"/>
                <w:sz w:val="22"/>
                <w:szCs w:val="22"/>
                <w:lang w:eastAsia="zh-CN"/>
              </w:rPr>
              <w:t>□</w:t>
            </w:r>
          </w:p>
        </w:tc>
      </w:tr>
      <w:tr w14:paraId="322DA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1E96B1A7">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3DA797E2">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62CB225F">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noWrap w:val="0"/>
            <w:vAlign w:val="top"/>
          </w:tcPr>
          <w:p w14:paraId="144A209B">
            <w:pPr>
              <w:rPr>
                <w:rFonts w:ascii="Arial"/>
                <w:sz w:val="21"/>
              </w:rPr>
            </w:pPr>
          </w:p>
        </w:tc>
        <w:tc>
          <w:tcPr>
            <w:tcW w:w="1329" w:type="dxa"/>
            <w:noWrap w:val="0"/>
            <w:vAlign w:val="top"/>
          </w:tcPr>
          <w:p w14:paraId="0C54F44A">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390" w:type="dxa"/>
            <w:gridSpan w:val="2"/>
            <w:noWrap w:val="0"/>
            <w:vAlign w:val="top"/>
          </w:tcPr>
          <w:p w14:paraId="507E5A2F">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386" w:type="dxa"/>
            <w:noWrap w:val="0"/>
            <w:vAlign w:val="top"/>
          </w:tcPr>
          <w:p w14:paraId="58570217">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1AD4B266">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78B1D864">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7D4C4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73ACCE25">
            <w:pPr>
              <w:rPr>
                <w:rFonts w:ascii="Arial"/>
                <w:sz w:val="21"/>
              </w:rPr>
            </w:pPr>
          </w:p>
        </w:tc>
        <w:tc>
          <w:tcPr>
            <w:tcW w:w="1119" w:type="dxa"/>
            <w:noWrap w:val="0"/>
            <w:vAlign w:val="top"/>
          </w:tcPr>
          <w:p w14:paraId="1B6377A6">
            <w:pPr>
              <w:spacing w:before="59" w:line="215" w:lineRule="auto"/>
              <w:ind w:left="112" w:right="108"/>
              <w:rPr>
                <w:rFonts w:ascii="宋体" w:hAnsi="宋体" w:eastAsia="宋体" w:cs="宋体"/>
                <w:sz w:val="21"/>
                <w:szCs w:val="21"/>
              </w:rPr>
            </w:pPr>
            <w:r>
              <w:t>年度财政 资金总额</w:t>
            </w:r>
          </w:p>
        </w:tc>
        <w:tc>
          <w:tcPr>
            <w:tcW w:w="1329" w:type="dxa"/>
            <w:noWrap w:val="0"/>
            <w:vAlign w:val="center"/>
          </w:tcPr>
          <w:p w14:paraId="013E33FD">
            <w:pPr>
              <w:jc w:val="center"/>
              <w:rPr>
                <w:rFonts w:hint="eastAsia" w:ascii="Arial" w:eastAsia="宋体"/>
                <w:sz w:val="21"/>
                <w:lang w:val="en-US" w:eastAsia="zh-CN"/>
              </w:rPr>
            </w:pPr>
            <w:r>
              <w:rPr>
                <w:rFonts w:hint="eastAsia" w:ascii="Arial"/>
                <w:color w:val="auto"/>
                <w:sz w:val="21"/>
                <w:lang w:val="en-US" w:eastAsia="zh-CN"/>
              </w:rPr>
              <w:t>30</w:t>
            </w:r>
          </w:p>
        </w:tc>
        <w:tc>
          <w:tcPr>
            <w:tcW w:w="1390" w:type="dxa"/>
            <w:gridSpan w:val="2"/>
            <w:noWrap w:val="0"/>
            <w:vAlign w:val="center"/>
          </w:tcPr>
          <w:p w14:paraId="1B08E8B8">
            <w:pPr>
              <w:jc w:val="center"/>
              <w:rPr>
                <w:rFonts w:hint="default" w:ascii="Arial" w:eastAsia="宋体"/>
                <w:color w:val="auto"/>
                <w:sz w:val="21"/>
                <w:lang w:val="en-US" w:eastAsia="zh-CN"/>
              </w:rPr>
            </w:pPr>
            <w:r>
              <w:rPr>
                <w:rFonts w:hint="eastAsia" w:ascii="Arial"/>
                <w:color w:val="auto"/>
                <w:sz w:val="21"/>
                <w:lang w:val="en-US" w:eastAsia="zh-CN"/>
              </w:rPr>
              <w:t>30</w:t>
            </w:r>
          </w:p>
        </w:tc>
        <w:tc>
          <w:tcPr>
            <w:tcW w:w="1386" w:type="dxa"/>
            <w:noWrap w:val="0"/>
            <w:vAlign w:val="center"/>
          </w:tcPr>
          <w:p w14:paraId="618B9B63">
            <w:pPr>
              <w:jc w:val="center"/>
              <w:rPr>
                <w:rFonts w:hint="default" w:ascii="Arial" w:eastAsia="宋体"/>
                <w:color w:val="auto"/>
                <w:sz w:val="21"/>
                <w:lang w:val="en-US" w:eastAsia="zh-CN"/>
              </w:rPr>
            </w:pPr>
            <w:r>
              <w:rPr>
                <w:rFonts w:hint="eastAsia" w:ascii="Arial"/>
                <w:color w:val="auto"/>
                <w:sz w:val="21"/>
                <w:lang w:val="en-US" w:eastAsia="zh-CN"/>
              </w:rPr>
              <w:t>100%</w:t>
            </w:r>
          </w:p>
        </w:tc>
        <w:tc>
          <w:tcPr>
            <w:tcW w:w="2202" w:type="dxa"/>
            <w:gridSpan w:val="3"/>
            <w:noWrap w:val="0"/>
            <w:vAlign w:val="center"/>
          </w:tcPr>
          <w:p w14:paraId="03FC9C86">
            <w:pPr>
              <w:jc w:val="center"/>
              <w:rPr>
                <w:rFonts w:hint="default" w:ascii="Arial" w:eastAsia="宋体"/>
                <w:color w:val="auto"/>
                <w:sz w:val="21"/>
                <w:lang w:val="en-US" w:eastAsia="zh-CN"/>
              </w:rPr>
            </w:pPr>
            <w:r>
              <w:rPr>
                <w:rFonts w:hint="eastAsia" w:ascii="Arial"/>
                <w:color w:val="auto"/>
                <w:sz w:val="21"/>
                <w:lang w:val="en-US" w:eastAsia="zh-CN"/>
              </w:rPr>
              <w:t>20</w:t>
            </w:r>
          </w:p>
        </w:tc>
      </w:tr>
      <w:tr w14:paraId="3C3E5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noWrap w:val="0"/>
            <w:vAlign w:val="top"/>
          </w:tcPr>
          <w:p w14:paraId="2475C875">
            <w:pPr>
              <w:spacing w:line="269" w:lineRule="auto"/>
              <w:rPr>
                <w:rFonts w:ascii="Arial"/>
                <w:sz w:val="21"/>
              </w:rPr>
            </w:pPr>
          </w:p>
          <w:p w14:paraId="37884D34">
            <w:pPr>
              <w:spacing w:line="269" w:lineRule="auto"/>
              <w:rPr>
                <w:rFonts w:ascii="Arial"/>
                <w:sz w:val="21"/>
              </w:rPr>
            </w:pPr>
          </w:p>
          <w:p w14:paraId="535FCE00">
            <w:pPr>
              <w:spacing w:line="269" w:lineRule="auto"/>
              <w:rPr>
                <w:rFonts w:ascii="Arial"/>
                <w:sz w:val="21"/>
              </w:rPr>
            </w:pPr>
          </w:p>
          <w:p w14:paraId="0C1AF7D4">
            <w:pPr>
              <w:spacing w:line="270" w:lineRule="auto"/>
              <w:rPr>
                <w:rFonts w:ascii="Arial"/>
                <w:sz w:val="21"/>
              </w:rPr>
            </w:pPr>
          </w:p>
          <w:p w14:paraId="4CB19C88">
            <w:pPr>
              <w:spacing w:line="270" w:lineRule="auto"/>
              <w:rPr>
                <w:rFonts w:ascii="Arial"/>
                <w:sz w:val="21"/>
              </w:rPr>
            </w:pPr>
          </w:p>
          <w:p w14:paraId="1191DA4D">
            <w:pPr>
              <w:spacing w:line="270" w:lineRule="auto"/>
              <w:rPr>
                <w:rFonts w:ascii="Arial"/>
                <w:sz w:val="21"/>
              </w:rPr>
            </w:pPr>
          </w:p>
          <w:p w14:paraId="28304D6F">
            <w:pPr>
              <w:spacing w:line="270" w:lineRule="auto"/>
              <w:rPr>
                <w:rFonts w:ascii="Arial"/>
                <w:sz w:val="21"/>
              </w:rPr>
            </w:pPr>
          </w:p>
          <w:p w14:paraId="18C8A5ED">
            <w:pPr>
              <w:jc w:val="center"/>
              <w:rPr>
                <w:b/>
                <w:bCs/>
              </w:rPr>
            </w:pPr>
          </w:p>
          <w:p w14:paraId="7C072ADA">
            <w:pPr>
              <w:jc w:val="center"/>
              <w:rPr>
                <w:b/>
                <w:bCs/>
              </w:rPr>
            </w:pPr>
            <w:r>
              <w:rPr>
                <w:b/>
                <w:bCs/>
              </w:rPr>
              <w:t>年</w:t>
            </w:r>
          </w:p>
          <w:p w14:paraId="448C344E">
            <w:pPr>
              <w:jc w:val="center"/>
              <w:rPr>
                <w:b/>
                <w:bCs/>
              </w:rPr>
            </w:pPr>
            <w:r>
              <w:rPr>
                <w:b/>
                <w:bCs/>
              </w:rPr>
              <w:t>度</w:t>
            </w:r>
          </w:p>
          <w:p w14:paraId="0DB1D866">
            <w:pPr>
              <w:jc w:val="center"/>
              <w:rPr>
                <w:b/>
                <w:bCs/>
              </w:rPr>
            </w:pPr>
            <w:r>
              <w:rPr>
                <w:b/>
                <w:bCs/>
              </w:rPr>
              <w:t>绩</w:t>
            </w:r>
          </w:p>
          <w:p w14:paraId="272D368E">
            <w:pPr>
              <w:jc w:val="center"/>
              <w:rPr>
                <w:b/>
                <w:bCs/>
              </w:rPr>
            </w:pPr>
            <w:r>
              <w:rPr>
                <w:b/>
                <w:bCs/>
              </w:rPr>
              <w:t>效</w:t>
            </w:r>
          </w:p>
          <w:p w14:paraId="3EEA3C51">
            <w:pPr>
              <w:jc w:val="center"/>
              <w:rPr>
                <w:b/>
                <w:bCs/>
              </w:rPr>
            </w:pPr>
            <w:r>
              <w:rPr>
                <w:b/>
                <w:bCs/>
              </w:rPr>
              <w:t>目</w:t>
            </w:r>
          </w:p>
          <w:p w14:paraId="778D4365">
            <w:pPr>
              <w:jc w:val="center"/>
              <w:rPr>
                <w:b/>
                <w:bCs/>
              </w:rPr>
            </w:pPr>
            <w:r>
              <w:rPr>
                <w:b/>
                <w:bCs/>
              </w:rPr>
              <w:t>标</w:t>
            </w:r>
          </w:p>
          <w:p w14:paraId="6415864E">
            <w:pPr>
              <w:jc w:val="center"/>
              <w:rPr>
                <w:b/>
                <w:bCs/>
              </w:rPr>
            </w:pPr>
            <w:r>
              <w:rPr>
                <w:b/>
                <w:bCs/>
              </w:rPr>
              <w:t>1</w:t>
            </w:r>
          </w:p>
          <w:p w14:paraId="2764AD19">
            <w:pPr>
              <w:jc w:val="center"/>
              <w:rPr>
                <w:rFonts w:ascii="宋体" w:hAnsi="宋体" w:eastAsia="宋体" w:cs="宋体"/>
                <w:sz w:val="22"/>
                <w:szCs w:val="22"/>
              </w:rPr>
            </w:pPr>
            <w:r>
              <w:rPr>
                <w:b/>
                <w:bCs/>
              </w:rPr>
              <w:t>(</w:t>
            </w:r>
            <w:r>
              <w:rPr>
                <w:rFonts w:hint="eastAsia"/>
                <w:b/>
                <w:bCs/>
                <w:lang w:val="en-US" w:eastAsia="zh-CN"/>
              </w:rPr>
              <w:t>80</w:t>
            </w:r>
            <w:r>
              <w:rPr>
                <w:b/>
                <w:bCs/>
              </w:rPr>
              <w:t>分 )</w:t>
            </w:r>
          </w:p>
        </w:tc>
        <w:tc>
          <w:tcPr>
            <w:tcW w:w="689" w:type="dxa"/>
            <w:noWrap w:val="0"/>
            <w:vAlign w:val="top"/>
          </w:tcPr>
          <w:p w14:paraId="5263B806">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 指标</w:t>
            </w:r>
          </w:p>
        </w:tc>
        <w:tc>
          <w:tcPr>
            <w:tcW w:w="1119" w:type="dxa"/>
            <w:noWrap w:val="0"/>
            <w:vAlign w:val="top"/>
          </w:tcPr>
          <w:p w14:paraId="1F365FE8">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719" w:type="dxa"/>
            <w:gridSpan w:val="3"/>
            <w:noWrap w:val="0"/>
            <w:vAlign w:val="top"/>
          </w:tcPr>
          <w:p w14:paraId="4C531CF5">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386" w:type="dxa"/>
            <w:noWrap w:val="0"/>
            <w:vAlign w:val="top"/>
          </w:tcPr>
          <w:p w14:paraId="4072964C">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7F01CF9E">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718CF5CE">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201B7902">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5C53EFBC">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069AE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noWrap w:val="0"/>
            <w:vAlign w:val="top"/>
          </w:tcPr>
          <w:p w14:paraId="2D065E06">
            <w:pPr>
              <w:rPr>
                <w:rFonts w:ascii="Arial"/>
                <w:sz w:val="21"/>
              </w:rPr>
            </w:pPr>
          </w:p>
        </w:tc>
        <w:tc>
          <w:tcPr>
            <w:tcW w:w="689" w:type="dxa"/>
            <w:vMerge w:val="restart"/>
            <w:tcBorders>
              <w:bottom w:val="nil"/>
            </w:tcBorders>
            <w:noWrap w:val="0"/>
            <w:vAlign w:val="center"/>
          </w:tcPr>
          <w:p w14:paraId="3B215E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出</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标</w:t>
            </w:r>
          </w:p>
          <w:p w14:paraId="3922802F">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（40分）</w:t>
            </w:r>
          </w:p>
        </w:tc>
        <w:tc>
          <w:tcPr>
            <w:tcW w:w="1119" w:type="dxa"/>
            <w:vMerge w:val="restart"/>
            <w:noWrap w:val="0"/>
            <w:vAlign w:val="center"/>
          </w:tcPr>
          <w:p w14:paraId="79F2B3AB">
            <w:pPr>
              <w:keepNext w:val="0"/>
              <w:keepLines w:val="0"/>
              <w:widowControl/>
              <w:suppressLineNumbers w:val="0"/>
              <w:jc w:val="center"/>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数量指标</w:t>
            </w:r>
          </w:p>
        </w:tc>
        <w:tc>
          <w:tcPr>
            <w:tcW w:w="2719" w:type="dxa"/>
            <w:gridSpan w:val="3"/>
            <w:noWrap w:val="0"/>
            <w:vAlign w:val="center"/>
          </w:tcPr>
          <w:p w14:paraId="1B3B697B">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核对户数</w:t>
            </w:r>
          </w:p>
        </w:tc>
        <w:tc>
          <w:tcPr>
            <w:tcW w:w="1386" w:type="dxa"/>
            <w:noWrap w:val="0"/>
            <w:vAlign w:val="center"/>
          </w:tcPr>
          <w:p w14:paraId="482CA9F7">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11万户</w:t>
            </w:r>
          </w:p>
        </w:tc>
        <w:tc>
          <w:tcPr>
            <w:tcW w:w="1318" w:type="dxa"/>
            <w:gridSpan w:val="2"/>
            <w:noWrap w:val="0"/>
            <w:vAlign w:val="center"/>
          </w:tcPr>
          <w:p w14:paraId="61B692FD">
            <w:pPr>
              <w:keepNext w:val="0"/>
              <w:keepLines w:val="0"/>
              <w:widowControl/>
              <w:suppressLineNumbers w:val="0"/>
              <w:jc w:val="left"/>
              <w:textAlignment w:val="center"/>
              <w:rPr>
                <w:rFonts w:ascii="Arial"/>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11万户</w:t>
            </w:r>
          </w:p>
        </w:tc>
        <w:tc>
          <w:tcPr>
            <w:tcW w:w="884" w:type="dxa"/>
            <w:noWrap w:val="0"/>
            <w:vAlign w:val="center"/>
          </w:tcPr>
          <w:p w14:paraId="1109A85C">
            <w:pPr>
              <w:jc w:val="center"/>
              <w:rPr>
                <w:rFonts w:hint="default" w:ascii="Arial" w:eastAsia="宋体"/>
                <w:sz w:val="21"/>
                <w:lang w:val="en-US" w:eastAsia="zh-CN"/>
              </w:rPr>
            </w:pPr>
            <w:r>
              <w:rPr>
                <w:rFonts w:hint="eastAsia" w:ascii="Arial"/>
                <w:sz w:val="21"/>
                <w:lang w:val="en-US" w:eastAsia="zh-CN"/>
              </w:rPr>
              <w:t>10分</w:t>
            </w:r>
          </w:p>
        </w:tc>
      </w:tr>
      <w:tr w14:paraId="1A46C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534F9D86">
            <w:pPr>
              <w:rPr>
                <w:rFonts w:ascii="Arial"/>
                <w:sz w:val="21"/>
              </w:rPr>
            </w:pPr>
          </w:p>
        </w:tc>
        <w:tc>
          <w:tcPr>
            <w:tcW w:w="689" w:type="dxa"/>
            <w:vMerge w:val="continue"/>
            <w:tcBorders>
              <w:top w:val="nil"/>
              <w:bottom w:val="nil"/>
            </w:tcBorders>
            <w:noWrap w:val="0"/>
            <w:vAlign w:val="center"/>
          </w:tcPr>
          <w:p w14:paraId="3F2750BA">
            <w:pPr>
              <w:jc w:val="center"/>
              <w:rPr>
                <w:b/>
                <w:bCs/>
              </w:rPr>
            </w:pPr>
          </w:p>
        </w:tc>
        <w:tc>
          <w:tcPr>
            <w:tcW w:w="1119" w:type="dxa"/>
            <w:vMerge w:val="continue"/>
            <w:noWrap w:val="0"/>
            <w:vAlign w:val="center"/>
          </w:tcPr>
          <w:p w14:paraId="70A175A5">
            <w:pPr>
              <w:jc w:val="center"/>
              <w:rPr>
                <w:rFonts w:ascii="Arial"/>
                <w:sz w:val="21"/>
              </w:rPr>
            </w:pPr>
          </w:p>
        </w:tc>
        <w:tc>
          <w:tcPr>
            <w:tcW w:w="2719" w:type="dxa"/>
            <w:gridSpan w:val="3"/>
            <w:noWrap w:val="0"/>
            <w:vAlign w:val="center"/>
          </w:tcPr>
          <w:p w14:paraId="01C1038F">
            <w:pPr>
              <w:jc w:val="left"/>
              <w:rPr>
                <w:rFonts w:ascii="Arial"/>
                <w:sz w:val="21"/>
              </w:rPr>
            </w:pPr>
          </w:p>
        </w:tc>
        <w:tc>
          <w:tcPr>
            <w:tcW w:w="1386" w:type="dxa"/>
            <w:noWrap w:val="0"/>
            <w:vAlign w:val="center"/>
          </w:tcPr>
          <w:p w14:paraId="4DC8B6CA">
            <w:pPr>
              <w:rPr>
                <w:rFonts w:ascii="Arial"/>
                <w:sz w:val="21"/>
              </w:rPr>
            </w:pPr>
          </w:p>
        </w:tc>
        <w:tc>
          <w:tcPr>
            <w:tcW w:w="1318" w:type="dxa"/>
            <w:gridSpan w:val="2"/>
            <w:noWrap w:val="0"/>
            <w:vAlign w:val="center"/>
          </w:tcPr>
          <w:p w14:paraId="491167B6">
            <w:pPr>
              <w:rPr>
                <w:rFonts w:ascii="Arial"/>
                <w:kern w:val="2"/>
                <w:sz w:val="21"/>
                <w:lang w:val="en-US" w:eastAsia="zh-CN" w:bidi="ar-SA"/>
              </w:rPr>
            </w:pPr>
          </w:p>
        </w:tc>
        <w:tc>
          <w:tcPr>
            <w:tcW w:w="884" w:type="dxa"/>
            <w:noWrap w:val="0"/>
            <w:vAlign w:val="center"/>
          </w:tcPr>
          <w:p w14:paraId="31C3BCAA">
            <w:pPr>
              <w:jc w:val="center"/>
              <w:rPr>
                <w:rFonts w:ascii="Arial"/>
                <w:sz w:val="21"/>
              </w:rPr>
            </w:pPr>
          </w:p>
        </w:tc>
      </w:tr>
      <w:tr w14:paraId="2395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1864207A">
            <w:pPr>
              <w:rPr>
                <w:rFonts w:ascii="Arial"/>
                <w:sz w:val="21"/>
              </w:rPr>
            </w:pPr>
          </w:p>
        </w:tc>
        <w:tc>
          <w:tcPr>
            <w:tcW w:w="689" w:type="dxa"/>
            <w:vMerge w:val="continue"/>
            <w:tcBorders>
              <w:top w:val="nil"/>
              <w:bottom w:val="nil"/>
            </w:tcBorders>
            <w:noWrap w:val="0"/>
            <w:vAlign w:val="center"/>
          </w:tcPr>
          <w:p w14:paraId="305B1BFA">
            <w:pPr>
              <w:jc w:val="center"/>
              <w:rPr>
                <w:b/>
                <w:bCs/>
              </w:rPr>
            </w:pPr>
          </w:p>
        </w:tc>
        <w:tc>
          <w:tcPr>
            <w:tcW w:w="1119" w:type="dxa"/>
            <w:vMerge w:val="continue"/>
            <w:noWrap w:val="0"/>
            <w:vAlign w:val="center"/>
          </w:tcPr>
          <w:p w14:paraId="5FF93D95">
            <w:pPr>
              <w:jc w:val="center"/>
              <w:rPr>
                <w:rFonts w:ascii="宋体" w:hAnsi="宋体" w:eastAsia="宋体" w:cs="宋体"/>
                <w:sz w:val="22"/>
                <w:szCs w:val="22"/>
              </w:rPr>
            </w:pPr>
          </w:p>
        </w:tc>
        <w:tc>
          <w:tcPr>
            <w:tcW w:w="2719" w:type="dxa"/>
            <w:gridSpan w:val="3"/>
            <w:noWrap w:val="0"/>
            <w:vAlign w:val="center"/>
          </w:tcPr>
          <w:p w14:paraId="746EF3D2">
            <w:pPr>
              <w:jc w:val="left"/>
              <w:rPr>
                <w:rFonts w:ascii="Arial"/>
                <w:sz w:val="21"/>
              </w:rPr>
            </w:pPr>
          </w:p>
        </w:tc>
        <w:tc>
          <w:tcPr>
            <w:tcW w:w="1386" w:type="dxa"/>
            <w:noWrap w:val="0"/>
            <w:vAlign w:val="center"/>
          </w:tcPr>
          <w:p w14:paraId="3D4B7E1A">
            <w:pPr>
              <w:rPr>
                <w:rFonts w:ascii="Arial"/>
                <w:sz w:val="21"/>
              </w:rPr>
            </w:pPr>
          </w:p>
        </w:tc>
        <w:tc>
          <w:tcPr>
            <w:tcW w:w="1318" w:type="dxa"/>
            <w:gridSpan w:val="2"/>
            <w:noWrap w:val="0"/>
            <w:vAlign w:val="center"/>
          </w:tcPr>
          <w:p w14:paraId="67F29A6C">
            <w:pPr>
              <w:rPr>
                <w:rFonts w:ascii="Arial"/>
                <w:kern w:val="2"/>
                <w:sz w:val="21"/>
                <w:lang w:val="en-US" w:eastAsia="zh-CN" w:bidi="ar-SA"/>
              </w:rPr>
            </w:pPr>
          </w:p>
        </w:tc>
        <w:tc>
          <w:tcPr>
            <w:tcW w:w="884" w:type="dxa"/>
            <w:noWrap w:val="0"/>
            <w:vAlign w:val="center"/>
          </w:tcPr>
          <w:p w14:paraId="600D618D">
            <w:pPr>
              <w:jc w:val="center"/>
              <w:rPr>
                <w:rFonts w:ascii="Arial"/>
                <w:sz w:val="21"/>
              </w:rPr>
            </w:pPr>
          </w:p>
        </w:tc>
      </w:tr>
      <w:tr w14:paraId="5C8CF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589A419A">
            <w:pPr>
              <w:rPr>
                <w:rFonts w:ascii="Arial"/>
                <w:sz w:val="21"/>
              </w:rPr>
            </w:pPr>
          </w:p>
        </w:tc>
        <w:tc>
          <w:tcPr>
            <w:tcW w:w="689" w:type="dxa"/>
            <w:vMerge w:val="continue"/>
            <w:tcBorders>
              <w:top w:val="nil"/>
            </w:tcBorders>
            <w:noWrap w:val="0"/>
            <w:vAlign w:val="center"/>
          </w:tcPr>
          <w:p w14:paraId="0AE5F0CC">
            <w:pPr>
              <w:jc w:val="center"/>
              <w:rPr>
                <w:b/>
                <w:bCs/>
              </w:rPr>
            </w:pPr>
          </w:p>
        </w:tc>
        <w:tc>
          <w:tcPr>
            <w:tcW w:w="1119" w:type="dxa"/>
            <w:vMerge w:val="restart"/>
            <w:noWrap w:val="0"/>
            <w:vAlign w:val="center"/>
          </w:tcPr>
          <w:p w14:paraId="4B535DF0">
            <w:pPr>
              <w:keepNext w:val="0"/>
              <w:keepLines w:val="0"/>
              <w:widowControl/>
              <w:suppressLineNumbers w:val="0"/>
              <w:jc w:val="center"/>
              <w:textAlignment w:val="center"/>
              <w:rPr>
                <w:rFonts w:ascii="宋体" w:hAnsi="宋体" w:eastAsia="宋体" w:cs="宋体"/>
                <w:sz w:val="22"/>
                <w:szCs w:val="22"/>
              </w:rPr>
            </w:pPr>
            <w:r>
              <w:rPr>
                <w:rFonts w:hint="eastAsia" w:ascii="仿宋" w:hAnsi="仿宋" w:eastAsia="仿宋" w:cs="仿宋"/>
                <w:i w:val="0"/>
                <w:iCs w:val="0"/>
                <w:color w:val="000000"/>
                <w:kern w:val="0"/>
                <w:sz w:val="22"/>
                <w:szCs w:val="22"/>
                <w:u w:val="none"/>
                <w:lang w:val="en-US" w:eastAsia="zh-CN" w:bidi="ar"/>
              </w:rPr>
              <w:t>质量指标</w:t>
            </w:r>
          </w:p>
        </w:tc>
        <w:tc>
          <w:tcPr>
            <w:tcW w:w="2719" w:type="dxa"/>
            <w:gridSpan w:val="3"/>
            <w:noWrap w:val="0"/>
            <w:vAlign w:val="center"/>
          </w:tcPr>
          <w:p w14:paraId="0A3C50BF">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普查准确率</w:t>
            </w:r>
          </w:p>
        </w:tc>
        <w:tc>
          <w:tcPr>
            <w:tcW w:w="1386" w:type="dxa"/>
            <w:noWrap w:val="0"/>
            <w:vAlign w:val="center"/>
          </w:tcPr>
          <w:p w14:paraId="5EDE6C45">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4"/>
                <w:szCs w:val="24"/>
                <w:u w:val="none"/>
                <w:lang w:val="en-US" w:eastAsia="zh-CN" w:bidi="ar"/>
              </w:rPr>
              <w:t>95%以上</w:t>
            </w:r>
          </w:p>
        </w:tc>
        <w:tc>
          <w:tcPr>
            <w:tcW w:w="1318" w:type="dxa"/>
            <w:gridSpan w:val="2"/>
            <w:noWrap w:val="0"/>
            <w:vAlign w:val="center"/>
          </w:tcPr>
          <w:p w14:paraId="66E0F6F7">
            <w:pPr>
              <w:keepNext w:val="0"/>
              <w:keepLines w:val="0"/>
              <w:widowControl/>
              <w:suppressLineNumbers w:val="0"/>
              <w:jc w:val="left"/>
              <w:textAlignment w:val="center"/>
              <w:rPr>
                <w:rFonts w:ascii="Arial"/>
                <w:kern w:val="2"/>
                <w:sz w:val="21"/>
                <w:lang w:val="en-US" w:eastAsia="zh-CN" w:bidi="ar-SA"/>
              </w:rPr>
            </w:pPr>
            <w:r>
              <w:rPr>
                <w:rFonts w:hint="eastAsia" w:ascii="仿宋" w:hAnsi="仿宋" w:eastAsia="仿宋" w:cs="仿宋"/>
                <w:i w:val="0"/>
                <w:iCs w:val="0"/>
                <w:color w:val="000000"/>
                <w:kern w:val="0"/>
                <w:sz w:val="24"/>
                <w:szCs w:val="24"/>
                <w:u w:val="none"/>
                <w:lang w:val="en-US" w:eastAsia="zh-CN" w:bidi="ar"/>
              </w:rPr>
              <w:t>95%以上</w:t>
            </w:r>
          </w:p>
        </w:tc>
        <w:tc>
          <w:tcPr>
            <w:tcW w:w="884" w:type="dxa"/>
            <w:noWrap w:val="0"/>
            <w:vAlign w:val="center"/>
          </w:tcPr>
          <w:p w14:paraId="077E691B">
            <w:pPr>
              <w:jc w:val="center"/>
              <w:rPr>
                <w:rFonts w:ascii="Arial"/>
                <w:sz w:val="21"/>
              </w:rPr>
            </w:pPr>
            <w:r>
              <w:rPr>
                <w:rFonts w:hint="eastAsia" w:ascii="Arial"/>
                <w:sz w:val="21"/>
                <w:lang w:val="en-US" w:eastAsia="zh-CN"/>
              </w:rPr>
              <w:t>10分</w:t>
            </w:r>
          </w:p>
        </w:tc>
      </w:tr>
      <w:tr w14:paraId="54472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noWrap w:val="0"/>
            <w:vAlign w:val="top"/>
          </w:tcPr>
          <w:p w14:paraId="00DA9790">
            <w:pPr>
              <w:rPr>
                <w:rFonts w:ascii="Arial"/>
                <w:sz w:val="21"/>
              </w:rPr>
            </w:pPr>
          </w:p>
        </w:tc>
        <w:tc>
          <w:tcPr>
            <w:tcW w:w="689" w:type="dxa"/>
            <w:vMerge w:val="continue"/>
            <w:tcBorders>
              <w:bottom w:val="nil"/>
            </w:tcBorders>
            <w:noWrap w:val="0"/>
            <w:vAlign w:val="center"/>
          </w:tcPr>
          <w:p w14:paraId="25CF8B2E">
            <w:pPr>
              <w:jc w:val="center"/>
              <w:rPr>
                <w:rFonts w:ascii="Calibri" w:hAnsi="Calibri" w:eastAsia="宋体" w:cs="Times New Roman"/>
                <w:b/>
                <w:bCs/>
              </w:rPr>
            </w:pPr>
          </w:p>
        </w:tc>
        <w:tc>
          <w:tcPr>
            <w:tcW w:w="1119" w:type="dxa"/>
            <w:vMerge w:val="continue"/>
            <w:noWrap w:val="0"/>
            <w:vAlign w:val="center"/>
          </w:tcPr>
          <w:p w14:paraId="560B1CC6">
            <w:pPr>
              <w:jc w:val="center"/>
              <w:rPr>
                <w:rFonts w:ascii="宋体" w:hAnsi="宋体" w:eastAsia="宋体" w:cs="宋体"/>
                <w:sz w:val="11"/>
                <w:szCs w:val="11"/>
              </w:rPr>
            </w:pPr>
          </w:p>
        </w:tc>
        <w:tc>
          <w:tcPr>
            <w:tcW w:w="2719" w:type="dxa"/>
            <w:gridSpan w:val="3"/>
            <w:noWrap w:val="0"/>
            <w:vAlign w:val="center"/>
          </w:tcPr>
          <w:p w14:paraId="10B9F6BC">
            <w:pPr>
              <w:jc w:val="left"/>
              <w:rPr>
                <w:rFonts w:ascii="Arial"/>
                <w:sz w:val="21"/>
              </w:rPr>
            </w:pPr>
          </w:p>
        </w:tc>
        <w:tc>
          <w:tcPr>
            <w:tcW w:w="1386" w:type="dxa"/>
            <w:noWrap w:val="0"/>
            <w:vAlign w:val="center"/>
          </w:tcPr>
          <w:p w14:paraId="4DC0B65C">
            <w:pPr>
              <w:jc w:val="left"/>
              <w:rPr>
                <w:rFonts w:ascii="Arial"/>
                <w:sz w:val="21"/>
              </w:rPr>
            </w:pPr>
          </w:p>
        </w:tc>
        <w:tc>
          <w:tcPr>
            <w:tcW w:w="1318" w:type="dxa"/>
            <w:gridSpan w:val="2"/>
            <w:noWrap w:val="0"/>
            <w:vAlign w:val="center"/>
          </w:tcPr>
          <w:p w14:paraId="0E6EF0C8">
            <w:pPr>
              <w:jc w:val="left"/>
              <w:rPr>
                <w:rFonts w:ascii="Arial"/>
                <w:kern w:val="2"/>
                <w:sz w:val="21"/>
                <w:lang w:val="en-US" w:eastAsia="zh-CN" w:bidi="ar-SA"/>
              </w:rPr>
            </w:pPr>
          </w:p>
        </w:tc>
        <w:tc>
          <w:tcPr>
            <w:tcW w:w="884" w:type="dxa"/>
            <w:noWrap w:val="0"/>
            <w:vAlign w:val="center"/>
          </w:tcPr>
          <w:p w14:paraId="0E9ED6AC">
            <w:pPr>
              <w:jc w:val="center"/>
              <w:rPr>
                <w:rFonts w:ascii="Arial"/>
                <w:sz w:val="21"/>
              </w:rPr>
            </w:pPr>
          </w:p>
        </w:tc>
      </w:tr>
      <w:tr w14:paraId="26C9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2D7DF038">
            <w:pPr>
              <w:rPr>
                <w:rFonts w:ascii="Arial"/>
                <w:sz w:val="21"/>
              </w:rPr>
            </w:pPr>
          </w:p>
        </w:tc>
        <w:tc>
          <w:tcPr>
            <w:tcW w:w="689" w:type="dxa"/>
            <w:vMerge w:val="continue"/>
            <w:tcBorders>
              <w:top w:val="nil"/>
              <w:bottom w:val="nil"/>
            </w:tcBorders>
            <w:noWrap w:val="0"/>
            <w:vAlign w:val="center"/>
          </w:tcPr>
          <w:p w14:paraId="6F3F9BE0">
            <w:pPr>
              <w:jc w:val="center"/>
              <w:rPr>
                <w:rFonts w:ascii="Calibri" w:hAnsi="Calibri" w:eastAsia="宋体" w:cs="Times New Roman"/>
                <w:b/>
                <w:bCs/>
              </w:rPr>
            </w:pPr>
          </w:p>
        </w:tc>
        <w:tc>
          <w:tcPr>
            <w:tcW w:w="1119" w:type="dxa"/>
            <w:vMerge w:val="continue"/>
            <w:noWrap w:val="0"/>
            <w:vAlign w:val="center"/>
          </w:tcPr>
          <w:p w14:paraId="2E4C996E">
            <w:pPr>
              <w:jc w:val="center"/>
              <w:rPr>
                <w:rFonts w:ascii="宋体" w:hAnsi="宋体" w:eastAsia="宋体" w:cs="宋体"/>
                <w:sz w:val="22"/>
                <w:szCs w:val="22"/>
              </w:rPr>
            </w:pPr>
          </w:p>
        </w:tc>
        <w:tc>
          <w:tcPr>
            <w:tcW w:w="2719" w:type="dxa"/>
            <w:gridSpan w:val="3"/>
            <w:noWrap w:val="0"/>
            <w:vAlign w:val="center"/>
          </w:tcPr>
          <w:p w14:paraId="38DA507E">
            <w:pPr>
              <w:jc w:val="left"/>
              <w:rPr>
                <w:rFonts w:ascii="Arial"/>
                <w:sz w:val="21"/>
              </w:rPr>
            </w:pPr>
          </w:p>
        </w:tc>
        <w:tc>
          <w:tcPr>
            <w:tcW w:w="1386" w:type="dxa"/>
            <w:noWrap w:val="0"/>
            <w:vAlign w:val="center"/>
          </w:tcPr>
          <w:p w14:paraId="25E3EB3E">
            <w:pPr>
              <w:rPr>
                <w:rFonts w:ascii="Arial"/>
                <w:sz w:val="21"/>
              </w:rPr>
            </w:pPr>
          </w:p>
        </w:tc>
        <w:tc>
          <w:tcPr>
            <w:tcW w:w="1318" w:type="dxa"/>
            <w:gridSpan w:val="2"/>
            <w:noWrap w:val="0"/>
            <w:vAlign w:val="center"/>
          </w:tcPr>
          <w:p w14:paraId="1450E535">
            <w:pPr>
              <w:rPr>
                <w:rFonts w:ascii="Arial"/>
                <w:kern w:val="2"/>
                <w:sz w:val="21"/>
                <w:lang w:val="en-US" w:eastAsia="zh-CN" w:bidi="ar-SA"/>
              </w:rPr>
            </w:pPr>
          </w:p>
        </w:tc>
        <w:tc>
          <w:tcPr>
            <w:tcW w:w="884" w:type="dxa"/>
            <w:noWrap w:val="0"/>
            <w:vAlign w:val="center"/>
          </w:tcPr>
          <w:p w14:paraId="42516510">
            <w:pPr>
              <w:jc w:val="center"/>
              <w:rPr>
                <w:rFonts w:ascii="Arial"/>
                <w:sz w:val="21"/>
              </w:rPr>
            </w:pPr>
          </w:p>
        </w:tc>
      </w:tr>
      <w:tr w14:paraId="0E267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521BC44F">
            <w:pPr>
              <w:rPr>
                <w:rFonts w:ascii="Arial"/>
                <w:sz w:val="21"/>
              </w:rPr>
            </w:pPr>
          </w:p>
        </w:tc>
        <w:tc>
          <w:tcPr>
            <w:tcW w:w="689" w:type="dxa"/>
            <w:vMerge w:val="continue"/>
            <w:tcBorders>
              <w:top w:val="nil"/>
              <w:bottom w:val="nil"/>
            </w:tcBorders>
            <w:noWrap w:val="0"/>
            <w:vAlign w:val="center"/>
          </w:tcPr>
          <w:p w14:paraId="6E09177C">
            <w:pPr>
              <w:jc w:val="center"/>
              <w:rPr>
                <w:rFonts w:ascii="Calibri" w:hAnsi="Calibri" w:eastAsia="宋体" w:cs="Times New Roman"/>
                <w:b/>
                <w:bCs/>
              </w:rPr>
            </w:pPr>
          </w:p>
        </w:tc>
        <w:tc>
          <w:tcPr>
            <w:tcW w:w="1119" w:type="dxa"/>
            <w:vMerge w:val="restart"/>
            <w:noWrap w:val="0"/>
            <w:vAlign w:val="center"/>
          </w:tcPr>
          <w:p w14:paraId="324A5B4E">
            <w:pPr>
              <w:keepNext w:val="0"/>
              <w:keepLines w:val="0"/>
              <w:widowControl/>
              <w:suppressLineNumbers w:val="0"/>
              <w:jc w:val="center"/>
              <w:textAlignment w:val="center"/>
              <w:rPr>
                <w:rFonts w:ascii="宋体" w:hAnsi="宋体" w:eastAsia="宋体" w:cs="宋体"/>
                <w:sz w:val="22"/>
                <w:szCs w:val="22"/>
              </w:rPr>
            </w:pPr>
            <w:r>
              <w:rPr>
                <w:rFonts w:hint="eastAsia" w:ascii="仿宋" w:hAnsi="仿宋" w:eastAsia="仿宋" w:cs="仿宋"/>
                <w:i w:val="0"/>
                <w:iCs w:val="0"/>
                <w:color w:val="000000"/>
                <w:kern w:val="0"/>
                <w:sz w:val="22"/>
                <w:szCs w:val="22"/>
                <w:u w:val="none"/>
                <w:lang w:val="en-US" w:eastAsia="zh-CN" w:bidi="ar"/>
              </w:rPr>
              <w:t>时效指标</w:t>
            </w:r>
          </w:p>
        </w:tc>
        <w:tc>
          <w:tcPr>
            <w:tcW w:w="2719" w:type="dxa"/>
            <w:gridSpan w:val="3"/>
            <w:noWrap w:val="0"/>
            <w:vAlign w:val="center"/>
          </w:tcPr>
          <w:p w14:paraId="02E4AAC7">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普查覆盖率</w:t>
            </w:r>
          </w:p>
        </w:tc>
        <w:tc>
          <w:tcPr>
            <w:tcW w:w="1386" w:type="dxa"/>
            <w:noWrap w:val="0"/>
            <w:vAlign w:val="center"/>
          </w:tcPr>
          <w:p w14:paraId="32183EAA">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40B0BBB4">
            <w:pPr>
              <w:keepNext w:val="0"/>
              <w:keepLines w:val="0"/>
              <w:widowControl/>
              <w:suppressLineNumbers w:val="0"/>
              <w:jc w:val="left"/>
              <w:textAlignment w:val="center"/>
              <w:rPr>
                <w:rFonts w:ascii="Arial"/>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5732689B">
            <w:pPr>
              <w:jc w:val="center"/>
              <w:rPr>
                <w:rFonts w:ascii="Arial"/>
                <w:sz w:val="21"/>
              </w:rPr>
            </w:pPr>
            <w:r>
              <w:rPr>
                <w:rFonts w:hint="eastAsia" w:ascii="Arial"/>
                <w:sz w:val="21"/>
                <w:lang w:val="en-US" w:eastAsia="zh-CN"/>
              </w:rPr>
              <w:t>10分</w:t>
            </w:r>
          </w:p>
        </w:tc>
      </w:tr>
      <w:tr w14:paraId="39628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6D18E7E6">
            <w:pPr>
              <w:rPr>
                <w:rFonts w:ascii="Arial"/>
                <w:sz w:val="21"/>
              </w:rPr>
            </w:pPr>
          </w:p>
        </w:tc>
        <w:tc>
          <w:tcPr>
            <w:tcW w:w="689" w:type="dxa"/>
            <w:vMerge w:val="continue"/>
            <w:tcBorders>
              <w:top w:val="nil"/>
            </w:tcBorders>
            <w:noWrap w:val="0"/>
            <w:vAlign w:val="center"/>
          </w:tcPr>
          <w:p w14:paraId="4C3BB01C">
            <w:pPr>
              <w:jc w:val="center"/>
              <w:rPr>
                <w:rFonts w:ascii="Calibri" w:hAnsi="Calibri" w:eastAsia="宋体" w:cs="Times New Roman"/>
                <w:b/>
                <w:bCs/>
              </w:rPr>
            </w:pPr>
          </w:p>
        </w:tc>
        <w:tc>
          <w:tcPr>
            <w:tcW w:w="1119" w:type="dxa"/>
            <w:vMerge w:val="continue"/>
            <w:noWrap w:val="0"/>
            <w:vAlign w:val="center"/>
          </w:tcPr>
          <w:p w14:paraId="16D114E6">
            <w:pPr>
              <w:jc w:val="center"/>
              <w:rPr>
                <w:rFonts w:ascii="Arial"/>
                <w:sz w:val="21"/>
              </w:rPr>
            </w:pPr>
          </w:p>
        </w:tc>
        <w:tc>
          <w:tcPr>
            <w:tcW w:w="2719" w:type="dxa"/>
            <w:gridSpan w:val="3"/>
            <w:noWrap w:val="0"/>
            <w:vAlign w:val="center"/>
          </w:tcPr>
          <w:p w14:paraId="740D5976">
            <w:pPr>
              <w:jc w:val="left"/>
              <w:rPr>
                <w:rFonts w:ascii="Arial"/>
                <w:sz w:val="21"/>
              </w:rPr>
            </w:pPr>
          </w:p>
        </w:tc>
        <w:tc>
          <w:tcPr>
            <w:tcW w:w="1386" w:type="dxa"/>
            <w:noWrap w:val="0"/>
            <w:vAlign w:val="center"/>
          </w:tcPr>
          <w:p w14:paraId="17DEDFDA">
            <w:pPr>
              <w:jc w:val="left"/>
              <w:rPr>
                <w:rFonts w:ascii="Arial"/>
                <w:sz w:val="21"/>
              </w:rPr>
            </w:pPr>
          </w:p>
        </w:tc>
        <w:tc>
          <w:tcPr>
            <w:tcW w:w="1318" w:type="dxa"/>
            <w:gridSpan w:val="2"/>
            <w:noWrap w:val="0"/>
            <w:vAlign w:val="center"/>
          </w:tcPr>
          <w:p w14:paraId="319ED406">
            <w:pPr>
              <w:jc w:val="left"/>
              <w:rPr>
                <w:rFonts w:ascii="Arial"/>
                <w:kern w:val="2"/>
                <w:sz w:val="21"/>
                <w:lang w:val="en-US" w:eastAsia="zh-CN" w:bidi="ar-SA"/>
              </w:rPr>
            </w:pPr>
          </w:p>
        </w:tc>
        <w:tc>
          <w:tcPr>
            <w:tcW w:w="884" w:type="dxa"/>
            <w:noWrap w:val="0"/>
            <w:vAlign w:val="center"/>
          </w:tcPr>
          <w:p w14:paraId="589C1611">
            <w:pPr>
              <w:jc w:val="center"/>
              <w:rPr>
                <w:rFonts w:ascii="Arial"/>
                <w:sz w:val="21"/>
              </w:rPr>
            </w:pPr>
          </w:p>
        </w:tc>
      </w:tr>
      <w:tr w14:paraId="5DBCC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2BFC913A">
            <w:pPr>
              <w:rPr>
                <w:rFonts w:ascii="Arial"/>
                <w:sz w:val="21"/>
              </w:rPr>
            </w:pPr>
          </w:p>
        </w:tc>
        <w:tc>
          <w:tcPr>
            <w:tcW w:w="689" w:type="dxa"/>
            <w:vMerge w:val="continue"/>
            <w:tcBorders>
              <w:bottom w:val="nil"/>
            </w:tcBorders>
            <w:noWrap w:val="0"/>
            <w:vAlign w:val="center"/>
          </w:tcPr>
          <w:p w14:paraId="0B04A99E">
            <w:pPr>
              <w:jc w:val="center"/>
              <w:rPr>
                <w:rFonts w:ascii="Calibri" w:hAnsi="Calibri" w:eastAsia="宋体" w:cs="Times New Roman"/>
                <w:b/>
                <w:bCs/>
              </w:rPr>
            </w:pPr>
          </w:p>
        </w:tc>
        <w:tc>
          <w:tcPr>
            <w:tcW w:w="1119" w:type="dxa"/>
            <w:vMerge w:val="continue"/>
            <w:noWrap w:val="0"/>
            <w:vAlign w:val="center"/>
          </w:tcPr>
          <w:p w14:paraId="0DCF09B0">
            <w:pPr>
              <w:jc w:val="center"/>
              <w:rPr>
                <w:rFonts w:ascii="宋体" w:hAnsi="宋体" w:eastAsia="宋体" w:cs="宋体"/>
                <w:sz w:val="11"/>
                <w:szCs w:val="11"/>
              </w:rPr>
            </w:pPr>
          </w:p>
        </w:tc>
        <w:tc>
          <w:tcPr>
            <w:tcW w:w="2719" w:type="dxa"/>
            <w:gridSpan w:val="3"/>
            <w:noWrap w:val="0"/>
            <w:vAlign w:val="center"/>
          </w:tcPr>
          <w:p w14:paraId="4E8D068C">
            <w:pPr>
              <w:jc w:val="left"/>
              <w:rPr>
                <w:rFonts w:ascii="Arial"/>
                <w:sz w:val="21"/>
              </w:rPr>
            </w:pPr>
          </w:p>
        </w:tc>
        <w:tc>
          <w:tcPr>
            <w:tcW w:w="1386" w:type="dxa"/>
            <w:noWrap w:val="0"/>
            <w:vAlign w:val="center"/>
          </w:tcPr>
          <w:p w14:paraId="2A86496A">
            <w:pPr>
              <w:jc w:val="left"/>
              <w:rPr>
                <w:rFonts w:ascii="Arial"/>
                <w:sz w:val="21"/>
              </w:rPr>
            </w:pPr>
          </w:p>
        </w:tc>
        <w:tc>
          <w:tcPr>
            <w:tcW w:w="1318" w:type="dxa"/>
            <w:gridSpan w:val="2"/>
            <w:noWrap w:val="0"/>
            <w:vAlign w:val="center"/>
          </w:tcPr>
          <w:p w14:paraId="11A57616">
            <w:pPr>
              <w:jc w:val="left"/>
              <w:rPr>
                <w:rFonts w:ascii="Arial"/>
                <w:kern w:val="2"/>
                <w:sz w:val="21"/>
                <w:lang w:val="en-US" w:eastAsia="zh-CN" w:bidi="ar-SA"/>
              </w:rPr>
            </w:pPr>
          </w:p>
        </w:tc>
        <w:tc>
          <w:tcPr>
            <w:tcW w:w="884" w:type="dxa"/>
            <w:noWrap w:val="0"/>
            <w:vAlign w:val="center"/>
          </w:tcPr>
          <w:p w14:paraId="0FDC4A53">
            <w:pPr>
              <w:jc w:val="center"/>
              <w:rPr>
                <w:rFonts w:ascii="Arial"/>
                <w:sz w:val="21"/>
              </w:rPr>
            </w:pPr>
          </w:p>
        </w:tc>
      </w:tr>
      <w:tr w14:paraId="7A24F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41C7C780">
            <w:pPr>
              <w:rPr>
                <w:rFonts w:ascii="Arial"/>
                <w:sz w:val="21"/>
              </w:rPr>
            </w:pPr>
          </w:p>
        </w:tc>
        <w:tc>
          <w:tcPr>
            <w:tcW w:w="689" w:type="dxa"/>
            <w:vMerge w:val="continue"/>
            <w:tcBorders>
              <w:top w:val="nil"/>
            </w:tcBorders>
            <w:noWrap w:val="0"/>
            <w:vAlign w:val="center"/>
          </w:tcPr>
          <w:p w14:paraId="71AA0325">
            <w:pPr>
              <w:jc w:val="center"/>
              <w:rPr>
                <w:rFonts w:ascii="Arial"/>
                <w:b/>
                <w:bCs/>
                <w:sz w:val="21"/>
              </w:rPr>
            </w:pPr>
          </w:p>
        </w:tc>
        <w:tc>
          <w:tcPr>
            <w:tcW w:w="1119" w:type="dxa"/>
            <w:vMerge w:val="restart"/>
            <w:noWrap w:val="0"/>
            <w:vAlign w:val="center"/>
          </w:tcPr>
          <w:p w14:paraId="3F5E6EAA">
            <w:pPr>
              <w:keepNext w:val="0"/>
              <w:keepLines w:val="0"/>
              <w:widowControl/>
              <w:suppressLineNumbers w:val="0"/>
              <w:jc w:val="center"/>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成本指标</w:t>
            </w:r>
          </w:p>
        </w:tc>
        <w:tc>
          <w:tcPr>
            <w:tcW w:w="2719" w:type="dxa"/>
            <w:gridSpan w:val="3"/>
            <w:noWrap w:val="0"/>
            <w:vAlign w:val="center"/>
          </w:tcPr>
          <w:p w14:paraId="109D7DA1">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控制在30万元以内</w:t>
            </w:r>
          </w:p>
        </w:tc>
        <w:tc>
          <w:tcPr>
            <w:tcW w:w="1386" w:type="dxa"/>
            <w:noWrap w:val="0"/>
            <w:vAlign w:val="center"/>
          </w:tcPr>
          <w:p w14:paraId="2CD48969">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30万元</w:t>
            </w:r>
          </w:p>
        </w:tc>
        <w:tc>
          <w:tcPr>
            <w:tcW w:w="1318" w:type="dxa"/>
            <w:gridSpan w:val="2"/>
            <w:noWrap w:val="0"/>
            <w:vAlign w:val="center"/>
          </w:tcPr>
          <w:p w14:paraId="2284DB53">
            <w:pPr>
              <w:keepNext w:val="0"/>
              <w:keepLines w:val="0"/>
              <w:widowControl/>
              <w:suppressLineNumbers w:val="0"/>
              <w:jc w:val="left"/>
              <w:textAlignment w:val="center"/>
              <w:rPr>
                <w:rFonts w:ascii="Arial"/>
                <w:color w:val="auto"/>
                <w:kern w:val="2"/>
                <w:sz w:val="21"/>
                <w:lang w:val="en-US" w:eastAsia="zh-CN" w:bidi="ar-SA"/>
              </w:rPr>
            </w:pPr>
            <w:r>
              <w:rPr>
                <w:rFonts w:hint="eastAsia" w:ascii="仿宋" w:hAnsi="仿宋" w:eastAsia="仿宋" w:cs="仿宋"/>
                <w:i w:val="0"/>
                <w:iCs w:val="0"/>
                <w:color w:val="auto"/>
                <w:kern w:val="0"/>
                <w:sz w:val="22"/>
                <w:szCs w:val="22"/>
                <w:u w:val="none"/>
                <w:lang w:val="en-US" w:eastAsia="zh-CN" w:bidi="ar"/>
              </w:rPr>
              <w:t>30万元</w:t>
            </w:r>
          </w:p>
        </w:tc>
        <w:tc>
          <w:tcPr>
            <w:tcW w:w="884" w:type="dxa"/>
            <w:noWrap w:val="0"/>
            <w:vAlign w:val="center"/>
          </w:tcPr>
          <w:p w14:paraId="116C945B">
            <w:pPr>
              <w:jc w:val="center"/>
              <w:rPr>
                <w:rFonts w:ascii="Arial"/>
                <w:color w:val="auto"/>
                <w:sz w:val="21"/>
              </w:rPr>
            </w:pPr>
            <w:r>
              <w:rPr>
                <w:rFonts w:hint="eastAsia" w:ascii="Arial"/>
                <w:color w:val="auto"/>
                <w:sz w:val="21"/>
                <w:lang w:val="en-US" w:eastAsia="zh-CN"/>
              </w:rPr>
              <w:t>10分</w:t>
            </w:r>
          </w:p>
        </w:tc>
      </w:tr>
      <w:tr w14:paraId="00FD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14" w:type="dxa"/>
            <w:vMerge w:val="continue"/>
            <w:noWrap w:val="0"/>
            <w:vAlign w:val="top"/>
          </w:tcPr>
          <w:p w14:paraId="360DFDE5">
            <w:pPr>
              <w:spacing w:before="58" w:line="223" w:lineRule="auto"/>
              <w:ind w:right="115"/>
              <w:jc w:val="center"/>
              <w:rPr>
                <w:rFonts w:ascii="宋体" w:hAnsi="宋体" w:eastAsia="宋体" w:cs="宋体"/>
                <w:sz w:val="21"/>
                <w:szCs w:val="21"/>
              </w:rPr>
            </w:pPr>
          </w:p>
        </w:tc>
        <w:tc>
          <w:tcPr>
            <w:tcW w:w="689" w:type="dxa"/>
            <w:vMerge w:val="continue"/>
            <w:noWrap w:val="0"/>
            <w:vAlign w:val="center"/>
          </w:tcPr>
          <w:p w14:paraId="058E1438">
            <w:pPr>
              <w:jc w:val="center"/>
              <w:rPr>
                <w:rFonts w:ascii="Arial"/>
                <w:b/>
                <w:bCs/>
                <w:sz w:val="21"/>
              </w:rPr>
            </w:pPr>
          </w:p>
        </w:tc>
        <w:tc>
          <w:tcPr>
            <w:tcW w:w="1119" w:type="dxa"/>
            <w:vMerge w:val="continue"/>
            <w:noWrap w:val="0"/>
            <w:vAlign w:val="center"/>
          </w:tcPr>
          <w:p w14:paraId="7C40BCA4">
            <w:pPr>
              <w:jc w:val="center"/>
              <w:rPr>
                <w:rFonts w:ascii="Arial"/>
                <w:sz w:val="21"/>
              </w:rPr>
            </w:pPr>
          </w:p>
        </w:tc>
        <w:tc>
          <w:tcPr>
            <w:tcW w:w="2719" w:type="dxa"/>
            <w:gridSpan w:val="3"/>
            <w:noWrap w:val="0"/>
            <w:vAlign w:val="center"/>
          </w:tcPr>
          <w:p w14:paraId="6FB3977B">
            <w:pPr>
              <w:jc w:val="left"/>
              <w:rPr>
                <w:rFonts w:ascii="Arial"/>
                <w:sz w:val="21"/>
              </w:rPr>
            </w:pPr>
          </w:p>
        </w:tc>
        <w:tc>
          <w:tcPr>
            <w:tcW w:w="1386" w:type="dxa"/>
            <w:noWrap w:val="0"/>
            <w:vAlign w:val="center"/>
          </w:tcPr>
          <w:p w14:paraId="2F1E117D">
            <w:pPr>
              <w:jc w:val="center"/>
              <w:rPr>
                <w:rFonts w:ascii="Arial"/>
                <w:sz w:val="21"/>
              </w:rPr>
            </w:pPr>
          </w:p>
        </w:tc>
        <w:tc>
          <w:tcPr>
            <w:tcW w:w="1318" w:type="dxa"/>
            <w:gridSpan w:val="2"/>
            <w:noWrap w:val="0"/>
            <w:vAlign w:val="center"/>
          </w:tcPr>
          <w:p w14:paraId="028AE2A3">
            <w:pPr>
              <w:jc w:val="center"/>
              <w:rPr>
                <w:rFonts w:ascii="Arial"/>
                <w:kern w:val="2"/>
                <w:sz w:val="21"/>
                <w:lang w:val="en-US" w:eastAsia="zh-CN" w:bidi="ar-SA"/>
              </w:rPr>
            </w:pPr>
          </w:p>
        </w:tc>
        <w:tc>
          <w:tcPr>
            <w:tcW w:w="884" w:type="dxa"/>
            <w:noWrap w:val="0"/>
            <w:vAlign w:val="center"/>
          </w:tcPr>
          <w:p w14:paraId="6F435D66">
            <w:pPr>
              <w:jc w:val="center"/>
              <w:rPr>
                <w:rFonts w:ascii="Arial"/>
                <w:sz w:val="21"/>
              </w:rPr>
            </w:pPr>
          </w:p>
        </w:tc>
      </w:tr>
      <w:tr w14:paraId="68BEF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65322E60">
            <w:pPr>
              <w:spacing w:before="181" w:line="339" w:lineRule="exact"/>
              <w:ind w:left="175"/>
              <w:rPr>
                <w:rFonts w:ascii="宋体" w:hAnsi="宋体" w:eastAsia="宋体" w:cs="宋体"/>
                <w:sz w:val="22"/>
                <w:szCs w:val="22"/>
              </w:rPr>
            </w:pPr>
          </w:p>
        </w:tc>
        <w:tc>
          <w:tcPr>
            <w:tcW w:w="689" w:type="dxa"/>
            <w:vMerge w:val="continue"/>
            <w:noWrap w:val="0"/>
            <w:vAlign w:val="center"/>
          </w:tcPr>
          <w:p w14:paraId="117A1DCF">
            <w:pPr>
              <w:jc w:val="center"/>
              <w:rPr>
                <w:rFonts w:ascii="Arial"/>
                <w:b/>
                <w:bCs/>
                <w:sz w:val="21"/>
              </w:rPr>
            </w:pPr>
          </w:p>
        </w:tc>
        <w:tc>
          <w:tcPr>
            <w:tcW w:w="1119" w:type="dxa"/>
            <w:vMerge w:val="continue"/>
            <w:noWrap w:val="0"/>
            <w:vAlign w:val="center"/>
          </w:tcPr>
          <w:p w14:paraId="372DAED5">
            <w:pPr>
              <w:jc w:val="center"/>
              <w:rPr>
                <w:rFonts w:ascii="Arial"/>
                <w:sz w:val="21"/>
              </w:rPr>
            </w:pPr>
          </w:p>
        </w:tc>
        <w:tc>
          <w:tcPr>
            <w:tcW w:w="2719" w:type="dxa"/>
            <w:gridSpan w:val="3"/>
            <w:noWrap w:val="0"/>
            <w:vAlign w:val="center"/>
          </w:tcPr>
          <w:p w14:paraId="4AF3E483">
            <w:pPr>
              <w:jc w:val="left"/>
              <w:rPr>
                <w:rFonts w:ascii="Arial"/>
                <w:sz w:val="21"/>
              </w:rPr>
            </w:pPr>
          </w:p>
        </w:tc>
        <w:tc>
          <w:tcPr>
            <w:tcW w:w="1386" w:type="dxa"/>
            <w:noWrap w:val="0"/>
            <w:vAlign w:val="center"/>
          </w:tcPr>
          <w:p w14:paraId="2EB43A93">
            <w:pPr>
              <w:jc w:val="center"/>
              <w:rPr>
                <w:rFonts w:ascii="Arial"/>
                <w:sz w:val="21"/>
              </w:rPr>
            </w:pPr>
          </w:p>
        </w:tc>
        <w:tc>
          <w:tcPr>
            <w:tcW w:w="1318" w:type="dxa"/>
            <w:gridSpan w:val="2"/>
            <w:noWrap w:val="0"/>
            <w:vAlign w:val="center"/>
          </w:tcPr>
          <w:p w14:paraId="5FCD2E6F">
            <w:pPr>
              <w:jc w:val="center"/>
              <w:rPr>
                <w:rFonts w:ascii="Arial"/>
                <w:kern w:val="2"/>
                <w:sz w:val="21"/>
                <w:lang w:val="en-US" w:eastAsia="zh-CN" w:bidi="ar-SA"/>
              </w:rPr>
            </w:pPr>
          </w:p>
        </w:tc>
        <w:tc>
          <w:tcPr>
            <w:tcW w:w="884" w:type="dxa"/>
            <w:noWrap w:val="0"/>
            <w:vAlign w:val="center"/>
          </w:tcPr>
          <w:p w14:paraId="5EB55473">
            <w:pPr>
              <w:jc w:val="center"/>
              <w:rPr>
                <w:rFonts w:ascii="Arial"/>
                <w:sz w:val="21"/>
              </w:rPr>
            </w:pPr>
          </w:p>
        </w:tc>
      </w:tr>
      <w:tr w14:paraId="51ABE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1157C60">
            <w:pPr>
              <w:spacing w:before="159" w:line="220" w:lineRule="auto"/>
              <w:ind w:left="175"/>
              <w:rPr>
                <w:rFonts w:ascii="宋体" w:hAnsi="宋体" w:eastAsia="宋体" w:cs="宋体"/>
                <w:sz w:val="22"/>
                <w:szCs w:val="22"/>
              </w:rPr>
            </w:pPr>
          </w:p>
        </w:tc>
        <w:tc>
          <w:tcPr>
            <w:tcW w:w="689" w:type="dxa"/>
            <w:vMerge w:val="restart"/>
            <w:noWrap w:val="0"/>
            <w:vAlign w:val="center"/>
          </w:tcPr>
          <w:p w14:paraId="74F3AEF9">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66EAE655">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2E6949F0">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72629E5C">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效</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益</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标</w:t>
            </w:r>
          </w:p>
          <w:p w14:paraId="4C62B2D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（30分）</w:t>
            </w:r>
          </w:p>
        </w:tc>
        <w:tc>
          <w:tcPr>
            <w:tcW w:w="1119" w:type="dxa"/>
            <w:vMerge w:val="restart"/>
            <w:noWrap w:val="0"/>
            <w:vAlign w:val="center"/>
          </w:tcPr>
          <w:p w14:paraId="402AC85C">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经济效益指标</w:t>
            </w:r>
          </w:p>
        </w:tc>
        <w:tc>
          <w:tcPr>
            <w:tcW w:w="2719" w:type="dxa"/>
            <w:gridSpan w:val="3"/>
            <w:noWrap w:val="0"/>
            <w:vAlign w:val="center"/>
          </w:tcPr>
          <w:p w14:paraId="6FCEC4AE">
            <w:pPr>
              <w:keepNext w:val="0"/>
              <w:keepLines w:val="0"/>
              <w:widowControl/>
              <w:suppressLineNumbers w:val="0"/>
              <w:jc w:val="left"/>
              <w:textAlignment w:val="center"/>
              <w:rPr>
                <w:rFonts w:hint="eastAsia" w:eastAsia="仿宋"/>
                <w:lang w:val="en-US" w:eastAsia="zh-CN"/>
              </w:rPr>
            </w:pPr>
            <w:r>
              <w:rPr>
                <w:rFonts w:hint="eastAsia" w:ascii="仿宋" w:hAnsi="仿宋" w:eastAsia="仿宋" w:cs="仿宋"/>
                <w:i w:val="0"/>
                <w:iCs w:val="0"/>
                <w:color w:val="000000"/>
                <w:kern w:val="0"/>
                <w:sz w:val="22"/>
                <w:szCs w:val="22"/>
                <w:u w:val="none"/>
                <w:lang w:val="en-US" w:eastAsia="zh-CN" w:bidi="ar"/>
              </w:rPr>
              <w:t>人口普查数据处理、评估、汇总</w:t>
            </w:r>
          </w:p>
        </w:tc>
        <w:tc>
          <w:tcPr>
            <w:tcW w:w="1386" w:type="dxa"/>
            <w:noWrap w:val="0"/>
            <w:vAlign w:val="center"/>
          </w:tcPr>
          <w:p w14:paraId="7897E25B">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5863C187">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7542CCE9">
            <w:pPr>
              <w:keepNext w:val="0"/>
              <w:keepLines w:val="0"/>
              <w:widowControl/>
              <w:suppressLineNumbers w:val="0"/>
              <w:jc w:val="center"/>
              <w:textAlignment w:val="center"/>
            </w:pPr>
            <w:r>
              <w:rPr>
                <w:rFonts w:hint="eastAsia" w:ascii="Arial"/>
                <w:sz w:val="21"/>
                <w:lang w:val="en-US" w:eastAsia="zh-CN"/>
              </w:rPr>
              <w:t>10分</w:t>
            </w:r>
          </w:p>
        </w:tc>
      </w:tr>
      <w:tr w14:paraId="0DEE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0B1A6AFE">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6EE1220C">
            <w:pPr>
              <w:jc w:val="center"/>
              <w:rPr>
                <w:rFonts w:ascii="Arial"/>
                <w:b/>
                <w:bCs/>
                <w:sz w:val="21"/>
              </w:rPr>
            </w:pPr>
          </w:p>
        </w:tc>
        <w:tc>
          <w:tcPr>
            <w:tcW w:w="1119" w:type="dxa"/>
            <w:vMerge w:val="continue"/>
            <w:noWrap w:val="0"/>
            <w:vAlign w:val="center"/>
          </w:tcPr>
          <w:p w14:paraId="25637080">
            <w:pPr>
              <w:jc w:val="center"/>
            </w:pPr>
          </w:p>
        </w:tc>
        <w:tc>
          <w:tcPr>
            <w:tcW w:w="2719" w:type="dxa"/>
            <w:gridSpan w:val="3"/>
            <w:noWrap w:val="0"/>
            <w:vAlign w:val="center"/>
          </w:tcPr>
          <w:p w14:paraId="7A364B83">
            <w:pPr>
              <w:jc w:val="center"/>
            </w:pPr>
          </w:p>
        </w:tc>
        <w:tc>
          <w:tcPr>
            <w:tcW w:w="1386" w:type="dxa"/>
            <w:noWrap w:val="0"/>
            <w:vAlign w:val="center"/>
          </w:tcPr>
          <w:p w14:paraId="5FE5C84C">
            <w:pPr>
              <w:jc w:val="left"/>
            </w:pPr>
          </w:p>
        </w:tc>
        <w:tc>
          <w:tcPr>
            <w:tcW w:w="1318" w:type="dxa"/>
            <w:gridSpan w:val="2"/>
            <w:noWrap w:val="0"/>
            <w:vAlign w:val="center"/>
          </w:tcPr>
          <w:p w14:paraId="3344E465">
            <w:pPr>
              <w:jc w:val="left"/>
              <w:rPr>
                <w:kern w:val="2"/>
                <w:sz w:val="21"/>
                <w:lang w:val="en-US" w:eastAsia="zh-CN" w:bidi="ar-SA"/>
              </w:rPr>
            </w:pPr>
          </w:p>
        </w:tc>
        <w:tc>
          <w:tcPr>
            <w:tcW w:w="884" w:type="dxa"/>
            <w:noWrap w:val="0"/>
            <w:vAlign w:val="center"/>
          </w:tcPr>
          <w:p w14:paraId="48162B86">
            <w:pPr>
              <w:jc w:val="center"/>
            </w:pPr>
          </w:p>
        </w:tc>
      </w:tr>
      <w:tr w14:paraId="38118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30ED38B">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577FBE8A">
            <w:pPr>
              <w:jc w:val="center"/>
              <w:rPr>
                <w:rFonts w:ascii="Arial"/>
                <w:b/>
                <w:bCs/>
                <w:sz w:val="21"/>
              </w:rPr>
            </w:pPr>
          </w:p>
        </w:tc>
        <w:tc>
          <w:tcPr>
            <w:tcW w:w="1119" w:type="dxa"/>
            <w:vMerge w:val="restart"/>
            <w:noWrap w:val="0"/>
            <w:vAlign w:val="center"/>
          </w:tcPr>
          <w:p w14:paraId="00198429">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社会效益指标</w:t>
            </w:r>
          </w:p>
        </w:tc>
        <w:tc>
          <w:tcPr>
            <w:tcW w:w="2719" w:type="dxa"/>
            <w:gridSpan w:val="3"/>
            <w:noWrap w:val="0"/>
            <w:vAlign w:val="center"/>
          </w:tcPr>
          <w:p w14:paraId="6ED18894">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为部门单位提供统计数据</w:t>
            </w:r>
          </w:p>
        </w:tc>
        <w:tc>
          <w:tcPr>
            <w:tcW w:w="1386" w:type="dxa"/>
            <w:noWrap w:val="0"/>
            <w:vAlign w:val="center"/>
          </w:tcPr>
          <w:p w14:paraId="11E7A2E2">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66BA8B3C">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72A80A58">
            <w:pPr>
              <w:keepNext w:val="0"/>
              <w:keepLines w:val="0"/>
              <w:widowControl/>
              <w:suppressLineNumbers w:val="0"/>
              <w:jc w:val="center"/>
              <w:textAlignment w:val="center"/>
            </w:pPr>
            <w:r>
              <w:rPr>
                <w:rFonts w:hint="eastAsia" w:ascii="Arial"/>
                <w:sz w:val="21"/>
                <w:lang w:val="en-US" w:eastAsia="zh-CN"/>
              </w:rPr>
              <w:t>4分</w:t>
            </w:r>
          </w:p>
        </w:tc>
      </w:tr>
      <w:tr w14:paraId="3A9C6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6722C47">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73B1C936">
            <w:pPr>
              <w:jc w:val="center"/>
              <w:rPr>
                <w:rFonts w:ascii="Arial"/>
                <w:b/>
                <w:bCs/>
                <w:sz w:val="21"/>
              </w:rPr>
            </w:pPr>
          </w:p>
        </w:tc>
        <w:tc>
          <w:tcPr>
            <w:tcW w:w="1119" w:type="dxa"/>
            <w:vMerge w:val="continue"/>
            <w:noWrap w:val="0"/>
            <w:vAlign w:val="center"/>
          </w:tcPr>
          <w:p w14:paraId="71DABC2D">
            <w:pPr>
              <w:jc w:val="center"/>
            </w:pPr>
          </w:p>
        </w:tc>
        <w:tc>
          <w:tcPr>
            <w:tcW w:w="2719" w:type="dxa"/>
            <w:gridSpan w:val="3"/>
            <w:noWrap w:val="0"/>
            <w:vAlign w:val="center"/>
          </w:tcPr>
          <w:p w14:paraId="3ABCBC3D">
            <w:pPr>
              <w:jc w:val="left"/>
            </w:pPr>
            <w:r>
              <w:rPr>
                <w:rFonts w:hint="eastAsia" w:ascii="仿宋" w:hAnsi="仿宋" w:eastAsia="仿宋" w:cs="仿宋"/>
                <w:i w:val="0"/>
                <w:iCs w:val="0"/>
                <w:color w:val="000000"/>
                <w:kern w:val="0"/>
                <w:sz w:val="22"/>
                <w:szCs w:val="22"/>
                <w:u w:val="none"/>
                <w:lang w:val="en-US" w:eastAsia="zh-CN" w:bidi="ar"/>
              </w:rPr>
              <w:t>检验统计数据公信力</w:t>
            </w:r>
          </w:p>
        </w:tc>
        <w:tc>
          <w:tcPr>
            <w:tcW w:w="1386" w:type="dxa"/>
            <w:noWrap w:val="0"/>
            <w:vAlign w:val="center"/>
          </w:tcPr>
          <w:p w14:paraId="767DA43E">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13884D30">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3C399AAC">
            <w:pPr>
              <w:keepNext w:val="0"/>
              <w:keepLines w:val="0"/>
              <w:widowControl/>
              <w:suppressLineNumbers w:val="0"/>
              <w:jc w:val="center"/>
              <w:textAlignment w:val="center"/>
            </w:pPr>
            <w:r>
              <w:rPr>
                <w:rFonts w:hint="eastAsia" w:ascii="Arial"/>
                <w:sz w:val="21"/>
                <w:lang w:val="en-US" w:eastAsia="zh-CN"/>
              </w:rPr>
              <w:t>5分</w:t>
            </w:r>
          </w:p>
        </w:tc>
      </w:tr>
      <w:tr w14:paraId="2F948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364A2195">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6D0215BF">
            <w:pPr>
              <w:jc w:val="center"/>
              <w:rPr>
                <w:rFonts w:ascii="Arial"/>
                <w:b/>
                <w:bCs/>
                <w:sz w:val="21"/>
              </w:rPr>
            </w:pPr>
          </w:p>
        </w:tc>
        <w:tc>
          <w:tcPr>
            <w:tcW w:w="1119" w:type="dxa"/>
            <w:vMerge w:val="restart"/>
            <w:noWrap w:val="0"/>
            <w:vAlign w:val="center"/>
          </w:tcPr>
          <w:p w14:paraId="5EC6F450">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环境效益指标</w:t>
            </w:r>
          </w:p>
        </w:tc>
        <w:tc>
          <w:tcPr>
            <w:tcW w:w="2719" w:type="dxa"/>
            <w:gridSpan w:val="3"/>
            <w:noWrap w:val="0"/>
            <w:vAlign w:val="center"/>
          </w:tcPr>
          <w:p w14:paraId="1C5101E4">
            <w:pPr>
              <w:jc w:val="left"/>
            </w:pPr>
          </w:p>
        </w:tc>
        <w:tc>
          <w:tcPr>
            <w:tcW w:w="1386" w:type="dxa"/>
            <w:noWrap w:val="0"/>
            <w:vAlign w:val="center"/>
          </w:tcPr>
          <w:p w14:paraId="60B4DFB5"/>
        </w:tc>
        <w:tc>
          <w:tcPr>
            <w:tcW w:w="1318" w:type="dxa"/>
            <w:gridSpan w:val="2"/>
            <w:noWrap w:val="0"/>
            <w:vAlign w:val="center"/>
          </w:tcPr>
          <w:p w14:paraId="38A2E978">
            <w:pPr>
              <w:rPr>
                <w:kern w:val="2"/>
                <w:sz w:val="21"/>
                <w:lang w:val="en-US" w:eastAsia="zh-CN" w:bidi="ar-SA"/>
              </w:rPr>
            </w:pPr>
          </w:p>
        </w:tc>
        <w:tc>
          <w:tcPr>
            <w:tcW w:w="884" w:type="dxa"/>
            <w:noWrap w:val="0"/>
            <w:vAlign w:val="center"/>
          </w:tcPr>
          <w:p w14:paraId="5B4FAF02">
            <w:pPr>
              <w:keepNext w:val="0"/>
              <w:keepLines w:val="0"/>
              <w:widowControl/>
              <w:suppressLineNumbers w:val="0"/>
              <w:jc w:val="center"/>
              <w:textAlignment w:val="center"/>
            </w:pPr>
          </w:p>
        </w:tc>
      </w:tr>
      <w:tr w14:paraId="1049A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257BB3E3">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01AE575E">
            <w:pPr>
              <w:jc w:val="center"/>
              <w:rPr>
                <w:rFonts w:ascii="Arial"/>
                <w:b/>
                <w:bCs/>
                <w:sz w:val="21"/>
              </w:rPr>
            </w:pPr>
          </w:p>
        </w:tc>
        <w:tc>
          <w:tcPr>
            <w:tcW w:w="1119" w:type="dxa"/>
            <w:vMerge w:val="continue"/>
            <w:noWrap w:val="0"/>
            <w:vAlign w:val="center"/>
          </w:tcPr>
          <w:p w14:paraId="0C5EE049">
            <w:pPr>
              <w:jc w:val="center"/>
            </w:pPr>
          </w:p>
        </w:tc>
        <w:tc>
          <w:tcPr>
            <w:tcW w:w="2719" w:type="dxa"/>
            <w:gridSpan w:val="3"/>
            <w:noWrap w:val="0"/>
            <w:vAlign w:val="center"/>
          </w:tcPr>
          <w:p w14:paraId="69282421">
            <w:pPr>
              <w:jc w:val="left"/>
            </w:pPr>
          </w:p>
        </w:tc>
        <w:tc>
          <w:tcPr>
            <w:tcW w:w="1386" w:type="dxa"/>
            <w:noWrap w:val="0"/>
            <w:vAlign w:val="center"/>
          </w:tcPr>
          <w:p w14:paraId="7DCA0D49"/>
        </w:tc>
        <w:tc>
          <w:tcPr>
            <w:tcW w:w="1318" w:type="dxa"/>
            <w:gridSpan w:val="2"/>
            <w:noWrap w:val="0"/>
            <w:vAlign w:val="center"/>
          </w:tcPr>
          <w:p w14:paraId="00CD3EA0">
            <w:pPr>
              <w:rPr>
                <w:kern w:val="2"/>
                <w:sz w:val="21"/>
                <w:lang w:val="en-US" w:eastAsia="zh-CN" w:bidi="ar-SA"/>
              </w:rPr>
            </w:pPr>
          </w:p>
        </w:tc>
        <w:tc>
          <w:tcPr>
            <w:tcW w:w="884" w:type="dxa"/>
            <w:noWrap w:val="0"/>
            <w:vAlign w:val="center"/>
          </w:tcPr>
          <w:p w14:paraId="55B810F3">
            <w:pPr>
              <w:jc w:val="center"/>
            </w:pPr>
          </w:p>
        </w:tc>
      </w:tr>
      <w:tr w14:paraId="064E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3090879">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1553FEB3">
            <w:pPr>
              <w:jc w:val="center"/>
              <w:rPr>
                <w:rFonts w:ascii="Arial"/>
                <w:b/>
                <w:bCs/>
                <w:sz w:val="21"/>
              </w:rPr>
            </w:pPr>
          </w:p>
        </w:tc>
        <w:tc>
          <w:tcPr>
            <w:tcW w:w="1119" w:type="dxa"/>
            <w:vMerge w:val="restart"/>
            <w:noWrap w:val="0"/>
            <w:vAlign w:val="center"/>
          </w:tcPr>
          <w:p w14:paraId="6D317A00">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可持续影响指标</w:t>
            </w:r>
          </w:p>
        </w:tc>
        <w:tc>
          <w:tcPr>
            <w:tcW w:w="2719" w:type="dxa"/>
            <w:gridSpan w:val="3"/>
            <w:noWrap w:val="0"/>
            <w:vAlign w:val="center"/>
          </w:tcPr>
          <w:p w14:paraId="449029AD">
            <w:pPr>
              <w:jc w:val="left"/>
            </w:pPr>
            <w:r>
              <w:rPr>
                <w:rFonts w:hint="eastAsia" w:ascii="仿宋" w:hAnsi="仿宋" w:eastAsia="仿宋" w:cs="仿宋"/>
                <w:i w:val="0"/>
                <w:iCs w:val="0"/>
                <w:color w:val="000000"/>
                <w:kern w:val="0"/>
                <w:sz w:val="22"/>
                <w:szCs w:val="22"/>
                <w:u w:val="none"/>
                <w:lang w:val="en-US" w:eastAsia="zh-CN" w:bidi="ar"/>
              </w:rPr>
              <w:t>为各单位提供人口数量、结构、分布、住房等数据</w:t>
            </w:r>
          </w:p>
        </w:tc>
        <w:tc>
          <w:tcPr>
            <w:tcW w:w="1386" w:type="dxa"/>
            <w:noWrap w:val="0"/>
            <w:vAlign w:val="center"/>
          </w:tcPr>
          <w:p w14:paraId="15EF09C0">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5098774D">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084A4082">
            <w:pPr>
              <w:keepNext w:val="0"/>
              <w:keepLines w:val="0"/>
              <w:widowControl/>
              <w:suppressLineNumbers w:val="0"/>
              <w:jc w:val="center"/>
              <w:textAlignment w:val="center"/>
            </w:pPr>
            <w:r>
              <w:rPr>
                <w:rFonts w:hint="eastAsia" w:ascii="Arial"/>
                <w:sz w:val="21"/>
                <w:lang w:val="en-US" w:eastAsia="zh-CN"/>
              </w:rPr>
              <w:t>9分</w:t>
            </w:r>
          </w:p>
        </w:tc>
      </w:tr>
      <w:tr w14:paraId="0D4B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337EE707">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5CD8D8F5">
            <w:pPr>
              <w:jc w:val="center"/>
              <w:rPr>
                <w:rFonts w:ascii="Arial"/>
                <w:b/>
                <w:bCs/>
                <w:sz w:val="21"/>
              </w:rPr>
            </w:pPr>
          </w:p>
        </w:tc>
        <w:tc>
          <w:tcPr>
            <w:tcW w:w="1119" w:type="dxa"/>
            <w:vMerge w:val="continue"/>
            <w:noWrap w:val="0"/>
            <w:vAlign w:val="center"/>
          </w:tcPr>
          <w:p w14:paraId="4B02CD6B">
            <w:pPr>
              <w:jc w:val="center"/>
            </w:pPr>
          </w:p>
        </w:tc>
        <w:tc>
          <w:tcPr>
            <w:tcW w:w="2719" w:type="dxa"/>
            <w:gridSpan w:val="3"/>
            <w:noWrap w:val="0"/>
            <w:vAlign w:val="center"/>
          </w:tcPr>
          <w:p w14:paraId="2E6E1D6B">
            <w:pPr>
              <w:jc w:val="left"/>
            </w:pPr>
          </w:p>
        </w:tc>
        <w:tc>
          <w:tcPr>
            <w:tcW w:w="1386" w:type="dxa"/>
            <w:noWrap w:val="0"/>
            <w:vAlign w:val="center"/>
          </w:tcPr>
          <w:p w14:paraId="1703625E"/>
        </w:tc>
        <w:tc>
          <w:tcPr>
            <w:tcW w:w="1318" w:type="dxa"/>
            <w:gridSpan w:val="2"/>
            <w:noWrap w:val="0"/>
            <w:vAlign w:val="center"/>
          </w:tcPr>
          <w:p w14:paraId="76C718C2">
            <w:pPr>
              <w:rPr>
                <w:kern w:val="2"/>
                <w:sz w:val="21"/>
                <w:lang w:val="en-US" w:eastAsia="zh-CN" w:bidi="ar-SA"/>
              </w:rPr>
            </w:pPr>
          </w:p>
        </w:tc>
        <w:tc>
          <w:tcPr>
            <w:tcW w:w="884" w:type="dxa"/>
            <w:noWrap w:val="0"/>
            <w:vAlign w:val="center"/>
          </w:tcPr>
          <w:p w14:paraId="517B9603">
            <w:pPr>
              <w:jc w:val="center"/>
            </w:pPr>
          </w:p>
        </w:tc>
      </w:tr>
      <w:tr w14:paraId="00817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58265480">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0FEBCC4C">
            <w:pPr>
              <w:jc w:val="center"/>
              <w:rPr>
                <w:rFonts w:ascii="Arial"/>
                <w:b/>
                <w:bCs/>
                <w:sz w:val="21"/>
              </w:rPr>
            </w:pPr>
          </w:p>
        </w:tc>
        <w:tc>
          <w:tcPr>
            <w:tcW w:w="1119" w:type="dxa"/>
            <w:vMerge w:val="continue"/>
            <w:noWrap w:val="0"/>
            <w:vAlign w:val="center"/>
          </w:tcPr>
          <w:p w14:paraId="7E4A24B0">
            <w:pPr>
              <w:jc w:val="center"/>
            </w:pPr>
          </w:p>
        </w:tc>
        <w:tc>
          <w:tcPr>
            <w:tcW w:w="2719" w:type="dxa"/>
            <w:gridSpan w:val="3"/>
            <w:noWrap w:val="0"/>
            <w:vAlign w:val="center"/>
          </w:tcPr>
          <w:p w14:paraId="4A24C4EB">
            <w:pPr>
              <w:jc w:val="left"/>
            </w:pPr>
          </w:p>
        </w:tc>
        <w:tc>
          <w:tcPr>
            <w:tcW w:w="1386" w:type="dxa"/>
            <w:noWrap w:val="0"/>
            <w:vAlign w:val="center"/>
          </w:tcPr>
          <w:p w14:paraId="4A83ABE7"/>
        </w:tc>
        <w:tc>
          <w:tcPr>
            <w:tcW w:w="1318" w:type="dxa"/>
            <w:gridSpan w:val="2"/>
            <w:noWrap w:val="0"/>
            <w:vAlign w:val="center"/>
          </w:tcPr>
          <w:p w14:paraId="0BA93CB7">
            <w:pPr>
              <w:rPr>
                <w:kern w:val="2"/>
                <w:sz w:val="21"/>
                <w:lang w:val="en-US" w:eastAsia="zh-CN" w:bidi="ar-SA"/>
              </w:rPr>
            </w:pPr>
          </w:p>
        </w:tc>
        <w:tc>
          <w:tcPr>
            <w:tcW w:w="884" w:type="dxa"/>
            <w:noWrap w:val="0"/>
            <w:vAlign w:val="center"/>
          </w:tcPr>
          <w:p w14:paraId="2FE088E0">
            <w:pPr>
              <w:jc w:val="center"/>
            </w:pPr>
          </w:p>
        </w:tc>
      </w:tr>
      <w:tr w14:paraId="5057B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814" w:type="dxa"/>
            <w:vMerge w:val="continue"/>
            <w:noWrap w:val="0"/>
            <w:vAlign w:val="top"/>
          </w:tcPr>
          <w:p w14:paraId="4042AB68">
            <w:pPr>
              <w:spacing w:before="159" w:line="220" w:lineRule="auto"/>
              <w:ind w:left="175"/>
              <w:rPr>
                <w:rFonts w:ascii="宋体" w:hAnsi="宋体" w:eastAsia="宋体" w:cs="宋体"/>
                <w:b/>
                <w:bCs/>
                <w:spacing w:val="4"/>
                <w:sz w:val="22"/>
                <w:szCs w:val="22"/>
              </w:rPr>
            </w:pPr>
          </w:p>
        </w:tc>
        <w:tc>
          <w:tcPr>
            <w:tcW w:w="689" w:type="dxa"/>
            <w:noWrap w:val="0"/>
            <w:vAlign w:val="center"/>
          </w:tcPr>
          <w:p w14:paraId="563B7CBB">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0"/>
                <w:szCs w:val="20"/>
                <w:u w:val="none"/>
                <w:lang w:val="en-US" w:eastAsia="zh-CN" w:bidi="ar"/>
              </w:rPr>
              <w:t>服务对象满意度指标（10分）</w:t>
            </w:r>
          </w:p>
        </w:tc>
        <w:tc>
          <w:tcPr>
            <w:tcW w:w="1119" w:type="dxa"/>
            <w:noWrap w:val="0"/>
            <w:vAlign w:val="center"/>
          </w:tcPr>
          <w:p w14:paraId="50A1AF92">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具体指标</w:t>
            </w:r>
          </w:p>
        </w:tc>
        <w:tc>
          <w:tcPr>
            <w:tcW w:w="2719" w:type="dxa"/>
            <w:gridSpan w:val="3"/>
            <w:noWrap w:val="0"/>
            <w:vAlign w:val="center"/>
          </w:tcPr>
          <w:p w14:paraId="3FA982A5">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调查对象满意度</w:t>
            </w:r>
          </w:p>
        </w:tc>
        <w:tc>
          <w:tcPr>
            <w:tcW w:w="1386" w:type="dxa"/>
            <w:noWrap w:val="0"/>
            <w:vAlign w:val="center"/>
          </w:tcPr>
          <w:p w14:paraId="6739F900">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76752887">
            <w:pPr>
              <w:keepNext w:val="0"/>
              <w:keepLines w:val="0"/>
              <w:widowControl/>
              <w:suppressLineNumbers w:val="0"/>
              <w:jc w:val="left"/>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070A8A6E">
            <w:pPr>
              <w:keepNext w:val="0"/>
              <w:keepLines w:val="0"/>
              <w:widowControl/>
              <w:suppressLineNumbers w:val="0"/>
              <w:jc w:val="center"/>
              <w:textAlignment w:val="center"/>
            </w:pPr>
            <w:r>
              <w:rPr>
                <w:rFonts w:hint="eastAsia" w:ascii="Arial"/>
                <w:sz w:val="21"/>
                <w:lang w:val="en-US" w:eastAsia="zh-CN"/>
              </w:rPr>
              <w:t>9分</w:t>
            </w:r>
          </w:p>
        </w:tc>
      </w:tr>
      <w:tr w14:paraId="7C3A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54170437">
            <w:pPr>
              <w:spacing w:before="159" w:line="220" w:lineRule="auto"/>
              <w:ind w:left="175" w:leftChars="0"/>
              <w:rPr>
                <w:rFonts w:ascii="宋体" w:hAnsi="宋体" w:eastAsia="宋体" w:cs="宋体"/>
                <w:b/>
                <w:bCs/>
                <w:spacing w:val="4"/>
                <w:sz w:val="22"/>
                <w:szCs w:val="22"/>
              </w:rPr>
            </w:pPr>
            <w:r>
              <w:rPr>
                <w:rFonts w:ascii="宋体" w:hAnsi="宋体" w:eastAsia="宋体" w:cs="宋体"/>
                <w:b/>
                <w:bCs/>
                <w:spacing w:val="4"/>
                <w:sz w:val="22"/>
                <w:szCs w:val="22"/>
              </w:rPr>
              <w:t>总分</w:t>
            </w:r>
          </w:p>
        </w:tc>
        <w:tc>
          <w:tcPr>
            <w:tcW w:w="8115" w:type="dxa"/>
            <w:gridSpan w:val="9"/>
            <w:noWrap w:val="0"/>
            <w:vAlign w:val="top"/>
          </w:tcPr>
          <w:p w14:paraId="1AC80D7B">
            <w:pPr>
              <w:spacing w:before="159" w:line="220" w:lineRule="auto"/>
              <w:ind w:left="175" w:leftChars="0"/>
              <w:rPr>
                <w:rFonts w:hint="default" w:eastAsiaTheme="minorEastAsia"/>
                <w:lang w:val="en-US" w:eastAsia="zh-CN"/>
              </w:rPr>
            </w:pPr>
            <w:r>
              <w:rPr>
                <w:rFonts w:hint="eastAsia"/>
                <w:lang w:val="en-US" w:eastAsia="zh-CN"/>
              </w:rPr>
              <w:t>97</w:t>
            </w:r>
          </w:p>
        </w:tc>
      </w:tr>
      <w:tr w14:paraId="2EEF1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814" w:type="dxa"/>
            <w:noWrap w:val="0"/>
            <w:vAlign w:val="top"/>
          </w:tcPr>
          <w:p w14:paraId="316505CE">
            <w:pPr>
              <w:jc w:val="center"/>
              <w:rPr>
                <w:rFonts w:ascii="宋体" w:hAnsi="宋体" w:eastAsia="宋体" w:cs="宋体"/>
                <w:b w:val="0"/>
                <w:bCs w:val="0"/>
                <w:kern w:val="2"/>
                <w:sz w:val="20"/>
                <w:szCs w:val="20"/>
                <w:lang w:val="en-US" w:eastAsia="zh-CN" w:bidi="ar-SA"/>
              </w:rPr>
            </w:pPr>
            <w:r>
              <w:rPr>
                <w:b w:val="0"/>
                <w:bCs w:val="0"/>
                <w:sz w:val="20"/>
                <w:szCs w:val="20"/>
              </w:rPr>
              <w:t>偏差</w:t>
            </w:r>
            <w:r>
              <w:rPr>
                <w:rFonts w:hint="eastAsia"/>
                <w:b w:val="0"/>
                <w:bCs w:val="0"/>
                <w:sz w:val="20"/>
                <w:szCs w:val="20"/>
                <w:lang w:eastAsia="zh-CN"/>
              </w:rPr>
              <w:t>过大</w:t>
            </w:r>
            <w:r>
              <w:rPr>
                <w:b w:val="0"/>
                <w:bCs w:val="0"/>
                <w:sz w:val="20"/>
                <w:szCs w:val="20"/>
              </w:rPr>
              <w:t>或目标未完成原因分析</w:t>
            </w:r>
          </w:p>
        </w:tc>
        <w:tc>
          <w:tcPr>
            <w:tcW w:w="8115" w:type="dxa"/>
            <w:gridSpan w:val="9"/>
            <w:noWrap w:val="0"/>
            <w:vAlign w:val="top"/>
          </w:tcPr>
          <w:p w14:paraId="38CFD94F">
            <w:pPr>
              <w:rPr>
                <w:rFonts w:hint="eastAsia" w:ascii="Arial" w:eastAsia="宋体" w:hAnsiTheme="minorHAnsi" w:cstheme="minorBidi"/>
                <w:kern w:val="2"/>
                <w:sz w:val="21"/>
                <w:szCs w:val="24"/>
                <w:lang w:val="en-US" w:eastAsia="zh-CN" w:bidi="ar-SA"/>
              </w:rPr>
            </w:pPr>
            <w:r>
              <w:rPr>
                <w:rFonts w:hint="eastAsia" w:ascii="Arial"/>
                <w:sz w:val="21"/>
                <w:lang w:eastAsia="zh-CN"/>
              </w:rPr>
              <w:t>无</w:t>
            </w:r>
          </w:p>
        </w:tc>
      </w:tr>
      <w:tr w14:paraId="5D24C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739202D0">
            <w:pPr>
              <w:spacing w:before="65" w:line="267" w:lineRule="auto"/>
              <w:ind w:right="147" w:rightChars="0"/>
              <w:jc w:val="both"/>
              <w:rPr>
                <w:rFonts w:ascii="宋体" w:hAnsi="宋体" w:eastAsia="宋体" w:cs="宋体"/>
                <w:b w:val="0"/>
                <w:bCs w:val="0"/>
                <w:kern w:val="2"/>
                <w:sz w:val="20"/>
                <w:szCs w:val="20"/>
                <w:lang w:val="en-US" w:eastAsia="zh-CN" w:bidi="ar-SA"/>
              </w:rPr>
            </w:pPr>
            <w:r>
              <w:rPr>
                <w:b w:val="0"/>
                <w:bCs w:val="0"/>
                <w:sz w:val="20"/>
                <w:szCs w:val="20"/>
              </w:rPr>
              <w:t>改进措施及  结果应用方案</w:t>
            </w:r>
          </w:p>
        </w:tc>
        <w:tc>
          <w:tcPr>
            <w:tcW w:w="8115" w:type="dxa"/>
            <w:gridSpan w:val="9"/>
            <w:noWrap w:val="0"/>
            <w:vAlign w:val="top"/>
          </w:tcPr>
          <w:p w14:paraId="2ABC7D28">
            <w:pPr>
              <w:rPr>
                <w:rFonts w:hint="eastAsia" w:ascii="Arial" w:eastAsia="宋体" w:hAnsiTheme="minorHAnsi" w:cstheme="minorBidi"/>
                <w:kern w:val="2"/>
                <w:sz w:val="21"/>
                <w:szCs w:val="24"/>
                <w:lang w:val="en-US" w:eastAsia="zh-CN" w:bidi="ar-SA"/>
              </w:rPr>
            </w:pPr>
            <w:r>
              <w:rPr>
                <w:rFonts w:hint="eastAsia" w:ascii="Arial"/>
                <w:sz w:val="21"/>
                <w:lang w:eastAsia="zh-CN"/>
              </w:rPr>
              <w:t>无</w:t>
            </w:r>
          </w:p>
        </w:tc>
      </w:tr>
    </w:tbl>
    <w:p w14:paraId="42666919">
      <w:pPr>
        <w:widowControl/>
        <w:spacing w:before="300"/>
        <w:jc w:val="left"/>
        <w:rPr>
          <w:rStyle w:val="8"/>
          <w:rFonts w:hint="default" w:ascii="宋体" w:hAnsi="宋体" w:eastAsia="宋体" w:cs="宋体"/>
          <w:b w:val="0"/>
          <w:bCs/>
          <w:i w:val="0"/>
          <w:caps w:val="0"/>
          <w:color w:val="000000"/>
          <w:spacing w:val="0"/>
          <w:sz w:val="28"/>
          <w:szCs w:val="28"/>
          <w:shd w:val="clear" w:fill="FFFFFF"/>
        </w:rPr>
      </w:pP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2. 常规专项业务专项经费绩效自评</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w:t>
      </w:r>
      <w:r>
        <w:rPr>
          <w:rStyle w:val="8"/>
          <w:rFonts w:hint="default" w:ascii="宋体" w:hAnsi="宋体" w:eastAsia="宋体" w:cs="宋体"/>
          <w:b w:val="0"/>
          <w:bCs/>
          <w:i w:val="0"/>
          <w:caps w:val="0"/>
          <w:color w:val="000000"/>
          <w:spacing w:val="0"/>
          <w:sz w:val="28"/>
          <w:szCs w:val="28"/>
          <w:shd w:val="clear" w:fill="FFFFFF"/>
        </w:rPr>
        <w:t> 项目全年预算数为36万元，其中：一般公共预算财政拨款36万元。执行数为36万元，完成预算100%。</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default" w:ascii="宋体" w:hAnsi="宋体" w:eastAsia="宋体" w:cs="宋体"/>
          <w:b w:val="0"/>
          <w:bCs/>
          <w:i w:val="0"/>
          <w:caps w:val="0"/>
          <w:color w:val="000000"/>
          <w:spacing w:val="0"/>
          <w:sz w:val="28"/>
          <w:szCs w:val="28"/>
          <w:shd w:val="clear" w:fill="FFFFFF"/>
        </w:rPr>
        <w:t>主要产出和效益：健全五大新区统计站网络建设，高质量完成我区城乡一体化住户等各项工作。一是通过业务培训提高基层统计业务能力；二是强化统计基础工作，增强依法统计意识，提高统计数据质量，全面提升统计工作水平，为“首善下陆”提供坚强的统计数据保障；三是为区委区政府提供经济数据。</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default" w:ascii="宋体" w:hAnsi="宋体" w:eastAsia="宋体" w:cs="宋体"/>
          <w:b w:val="0"/>
          <w:bCs/>
          <w:i w:val="0"/>
          <w:caps w:val="0"/>
          <w:color w:val="000000"/>
          <w:spacing w:val="0"/>
          <w:sz w:val="28"/>
          <w:szCs w:val="28"/>
          <w:shd w:val="clear" w:fill="FFFFFF"/>
        </w:rPr>
        <w:t>发现的问题及原因：统计常规专项经费较少，无法将电子记账户普查面扩大。</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eastAsia" w:ascii="宋体" w:hAnsi="宋体" w:eastAsia="宋体" w:cs="宋体"/>
          <w:b w:val="0"/>
          <w:bCs/>
          <w:i w:val="0"/>
          <w:caps w:val="0"/>
          <w:color w:val="000000"/>
          <w:spacing w:val="0"/>
          <w:sz w:val="28"/>
          <w:szCs w:val="28"/>
          <w:shd w:val="clear" w:fill="FFFFFF"/>
          <w:lang w:val="en-US" w:eastAsia="zh-CN"/>
        </w:rPr>
        <w:t xml:space="preserve">   </w:t>
      </w:r>
      <w:r>
        <w:rPr>
          <w:rStyle w:val="8"/>
          <w:rFonts w:hint="default" w:ascii="宋体" w:hAnsi="宋体" w:eastAsia="宋体" w:cs="宋体"/>
          <w:b w:val="0"/>
          <w:bCs/>
          <w:i w:val="0"/>
          <w:caps w:val="0"/>
          <w:color w:val="000000"/>
          <w:spacing w:val="0"/>
          <w:sz w:val="28"/>
          <w:szCs w:val="28"/>
          <w:shd w:val="clear" w:fill="FFFFFF"/>
        </w:rPr>
        <w:t>下一步改进措施：结合以往年度实际情况，科学测算相关工作经费预算，进一步提高预算编制的准确性。</w:t>
      </w:r>
    </w:p>
    <w:tbl>
      <w:tblPr>
        <w:tblStyle w:val="12"/>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689"/>
        <w:gridCol w:w="1119"/>
        <w:gridCol w:w="1329"/>
        <w:gridCol w:w="949"/>
        <w:gridCol w:w="456"/>
        <w:gridCol w:w="1371"/>
        <w:gridCol w:w="689"/>
        <w:gridCol w:w="629"/>
        <w:gridCol w:w="884"/>
      </w:tblGrid>
      <w:tr w14:paraId="57BD9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503" w:type="dxa"/>
            <w:gridSpan w:val="2"/>
            <w:noWrap w:val="0"/>
            <w:vAlign w:val="top"/>
          </w:tcPr>
          <w:p w14:paraId="6922E54F">
            <w:pPr>
              <w:spacing w:before="154" w:line="220" w:lineRule="auto"/>
              <w:ind w:left="304"/>
              <w:rPr>
                <w:rFonts w:ascii="宋体" w:hAnsi="宋体" w:eastAsia="宋体" w:cs="宋体"/>
                <w:sz w:val="22"/>
                <w:szCs w:val="22"/>
              </w:rPr>
            </w:pPr>
            <w:r>
              <w:rPr>
                <w:rFonts w:ascii="宋体" w:hAnsi="宋体" w:eastAsia="宋体" w:cs="宋体"/>
                <w:spacing w:val="2"/>
                <w:sz w:val="22"/>
                <w:szCs w:val="22"/>
              </w:rPr>
              <w:t>项目名称</w:t>
            </w:r>
          </w:p>
        </w:tc>
        <w:tc>
          <w:tcPr>
            <w:tcW w:w="7426" w:type="dxa"/>
            <w:gridSpan w:val="8"/>
            <w:noWrap w:val="0"/>
            <w:vAlign w:val="center"/>
          </w:tcPr>
          <w:p w14:paraId="2EE83AA2">
            <w:pPr>
              <w:jc w:val="center"/>
              <w:rPr>
                <w:rFonts w:ascii="Arial"/>
                <w:sz w:val="21"/>
              </w:rPr>
            </w:pPr>
            <w:r>
              <w:rPr>
                <w:rFonts w:hint="eastAsia" w:ascii="Arial"/>
                <w:sz w:val="21"/>
              </w:rPr>
              <w:t>常规统计专项</w:t>
            </w:r>
          </w:p>
        </w:tc>
      </w:tr>
      <w:tr w14:paraId="0D803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03" w:type="dxa"/>
            <w:gridSpan w:val="2"/>
            <w:noWrap w:val="0"/>
            <w:vAlign w:val="top"/>
          </w:tcPr>
          <w:p w14:paraId="128BB661">
            <w:pPr>
              <w:spacing w:before="150" w:line="219" w:lineRule="auto"/>
              <w:ind w:left="304"/>
              <w:rPr>
                <w:rFonts w:ascii="宋体" w:hAnsi="宋体" w:eastAsia="宋体" w:cs="宋体"/>
                <w:sz w:val="22"/>
                <w:szCs w:val="22"/>
              </w:rPr>
            </w:pPr>
            <w:r>
              <w:rPr>
                <w:rFonts w:ascii="宋体" w:hAnsi="宋体" w:eastAsia="宋体" w:cs="宋体"/>
                <w:spacing w:val="6"/>
                <w:sz w:val="22"/>
                <w:szCs w:val="22"/>
              </w:rPr>
              <w:t>主管部门</w:t>
            </w:r>
          </w:p>
        </w:tc>
        <w:tc>
          <w:tcPr>
            <w:tcW w:w="3397" w:type="dxa"/>
            <w:gridSpan w:val="3"/>
            <w:noWrap w:val="0"/>
            <w:vAlign w:val="center"/>
          </w:tcPr>
          <w:p w14:paraId="1AD1F6D2">
            <w:pPr>
              <w:jc w:val="center"/>
              <w:rPr>
                <w:rFonts w:ascii="Arial"/>
                <w:sz w:val="21"/>
              </w:rPr>
            </w:pPr>
            <w:r>
              <w:rPr>
                <w:rFonts w:hint="eastAsia" w:ascii="Arial"/>
                <w:sz w:val="21"/>
              </w:rPr>
              <w:t>下陆区统计局</w:t>
            </w:r>
          </w:p>
        </w:tc>
        <w:tc>
          <w:tcPr>
            <w:tcW w:w="2516" w:type="dxa"/>
            <w:gridSpan w:val="3"/>
            <w:noWrap w:val="0"/>
            <w:vAlign w:val="top"/>
          </w:tcPr>
          <w:p w14:paraId="5F1D77ED">
            <w:pPr>
              <w:spacing w:before="150" w:line="220" w:lineRule="auto"/>
              <w:ind w:left="595"/>
              <w:rPr>
                <w:rFonts w:ascii="宋体" w:hAnsi="宋体" w:eastAsia="宋体" w:cs="宋体"/>
                <w:sz w:val="22"/>
                <w:szCs w:val="22"/>
              </w:rPr>
            </w:pPr>
            <w:r>
              <w:rPr>
                <w:rFonts w:ascii="宋体" w:hAnsi="宋体" w:eastAsia="宋体" w:cs="宋体"/>
                <w:spacing w:val="1"/>
                <w:sz w:val="22"/>
                <w:szCs w:val="22"/>
              </w:rPr>
              <w:t>项目实施单位</w:t>
            </w:r>
          </w:p>
        </w:tc>
        <w:tc>
          <w:tcPr>
            <w:tcW w:w="1513" w:type="dxa"/>
            <w:gridSpan w:val="2"/>
            <w:noWrap w:val="0"/>
            <w:vAlign w:val="top"/>
          </w:tcPr>
          <w:p w14:paraId="1F24BDA6">
            <w:pPr>
              <w:rPr>
                <w:rFonts w:ascii="Arial"/>
                <w:sz w:val="21"/>
              </w:rPr>
            </w:pPr>
            <w:r>
              <w:rPr>
                <w:rFonts w:hint="eastAsia" w:ascii="Arial"/>
                <w:sz w:val="21"/>
              </w:rPr>
              <w:t>下陆区统计局</w:t>
            </w:r>
          </w:p>
        </w:tc>
      </w:tr>
      <w:tr w14:paraId="2A4C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19E21055">
            <w:pPr>
              <w:spacing w:before="150" w:line="219" w:lineRule="auto"/>
              <w:ind w:left="304"/>
              <w:rPr>
                <w:rFonts w:ascii="宋体" w:hAnsi="宋体" w:eastAsia="宋体" w:cs="宋体"/>
                <w:sz w:val="22"/>
                <w:szCs w:val="22"/>
              </w:rPr>
            </w:pPr>
            <w:r>
              <w:rPr>
                <w:rFonts w:ascii="宋体" w:hAnsi="宋体" w:eastAsia="宋体" w:cs="宋体"/>
                <w:spacing w:val="4"/>
                <w:sz w:val="22"/>
                <w:szCs w:val="22"/>
              </w:rPr>
              <w:t>项目类别</w:t>
            </w:r>
          </w:p>
        </w:tc>
        <w:tc>
          <w:tcPr>
            <w:tcW w:w="7426" w:type="dxa"/>
            <w:gridSpan w:val="8"/>
            <w:noWrap w:val="0"/>
            <w:vAlign w:val="top"/>
          </w:tcPr>
          <w:p w14:paraId="28EB8134">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1、部门预算项目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2、</w:t>
            </w:r>
            <w:r>
              <w:rPr>
                <w:rFonts w:hint="eastAsia" w:ascii="宋体" w:hAnsi="宋体" w:eastAsia="宋体" w:cs="宋体"/>
                <w:spacing w:val="4"/>
                <w:sz w:val="22"/>
                <w:szCs w:val="22"/>
                <w:lang w:val="en-US" w:eastAsia="zh-CN"/>
              </w:rPr>
              <w:t>上级</w:t>
            </w:r>
            <w:r>
              <w:rPr>
                <w:rFonts w:ascii="宋体" w:hAnsi="宋体" w:eastAsia="宋体" w:cs="宋体"/>
                <w:spacing w:val="4"/>
                <w:sz w:val="22"/>
                <w:szCs w:val="22"/>
              </w:rPr>
              <w:t>专项</w:t>
            </w:r>
            <w:r>
              <w:rPr>
                <w:rFonts w:hint="eastAsia" w:ascii="宋体" w:hAnsi="宋体" w:eastAsia="宋体" w:cs="宋体"/>
                <w:spacing w:val="4"/>
                <w:sz w:val="22"/>
                <w:szCs w:val="22"/>
                <w:lang w:eastAsia="zh-CN"/>
              </w:rPr>
              <w:t>□</w:t>
            </w:r>
          </w:p>
        </w:tc>
      </w:tr>
      <w:tr w14:paraId="33EB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03" w:type="dxa"/>
            <w:gridSpan w:val="2"/>
            <w:noWrap w:val="0"/>
            <w:vAlign w:val="top"/>
          </w:tcPr>
          <w:p w14:paraId="70314DE0">
            <w:pPr>
              <w:spacing w:before="150" w:line="220" w:lineRule="auto"/>
              <w:ind w:left="304"/>
              <w:rPr>
                <w:rFonts w:ascii="宋体" w:hAnsi="宋体" w:eastAsia="宋体" w:cs="宋体"/>
                <w:sz w:val="22"/>
                <w:szCs w:val="22"/>
              </w:rPr>
            </w:pPr>
            <w:r>
              <w:rPr>
                <w:rFonts w:ascii="宋体" w:hAnsi="宋体" w:eastAsia="宋体" w:cs="宋体"/>
                <w:spacing w:val="2"/>
                <w:sz w:val="22"/>
                <w:szCs w:val="22"/>
              </w:rPr>
              <w:t>项目属性</w:t>
            </w:r>
          </w:p>
        </w:tc>
        <w:tc>
          <w:tcPr>
            <w:tcW w:w="7426" w:type="dxa"/>
            <w:gridSpan w:val="8"/>
            <w:noWrap w:val="0"/>
            <w:vAlign w:val="top"/>
          </w:tcPr>
          <w:p w14:paraId="2E65F685">
            <w:pPr>
              <w:spacing w:before="150" w:line="219" w:lineRule="auto"/>
              <w:ind w:left="304"/>
              <w:rPr>
                <w:rFonts w:hint="eastAsia" w:ascii="宋体" w:hAnsi="宋体" w:eastAsia="宋体" w:cs="宋体"/>
                <w:spacing w:val="4"/>
                <w:sz w:val="22"/>
                <w:szCs w:val="22"/>
                <w:lang w:eastAsia="zh-CN"/>
              </w:rPr>
            </w:pPr>
            <w:r>
              <w:rPr>
                <w:rFonts w:ascii="宋体" w:hAnsi="宋体" w:eastAsia="宋体" w:cs="宋体"/>
                <w:spacing w:val="4"/>
                <w:sz w:val="22"/>
                <w:szCs w:val="22"/>
              </w:rPr>
              <w:t>1、持续性项目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2、新增性项目</w:t>
            </w:r>
            <w:r>
              <w:rPr>
                <w:rFonts w:hint="eastAsia" w:ascii="宋体" w:hAnsi="宋体" w:eastAsia="宋体" w:cs="宋体"/>
                <w:spacing w:val="4"/>
                <w:sz w:val="22"/>
                <w:szCs w:val="22"/>
                <w:lang w:eastAsia="zh-CN"/>
              </w:rPr>
              <w:t>□</w:t>
            </w:r>
          </w:p>
        </w:tc>
      </w:tr>
      <w:tr w14:paraId="716B1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03" w:type="dxa"/>
            <w:gridSpan w:val="2"/>
            <w:noWrap w:val="0"/>
            <w:vAlign w:val="top"/>
          </w:tcPr>
          <w:p w14:paraId="72DD2DD9">
            <w:pPr>
              <w:spacing w:before="151" w:line="219" w:lineRule="auto"/>
              <w:ind w:left="304"/>
              <w:rPr>
                <w:rFonts w:ascii="宋体" w:hAnsi="宋体" w:eastAsia="宋体" w:cs="宋体"/>
                <w:sz w:val="22"/>
                <w:szCs w:val="22"/>
              </w:rPr>
            </w:pPr>
            <w:r>
              <w:rPr>
                <w:rFonts w:ascii="宋体" w:hAnsi="宋体" w:eastAsia="宋体" w:cs="宋体"/>
                <w:spacing w:val="3"/>
                <w:sz w:val="22"/>
                <w:szCs w:val="22"/>
              </w:rPr>
              <w:t>项目类型</w:t>
            </w:r>
          </w:p>
        </w:tc>
        <w:tc>
          <w:tcPr>
            <w:tcW w:w="7426" w:type="dxa"/>
            <w:gridSpan w:val="8"/>
            <w:noWrap w:val="0"/>
            <w:vAlign w:val="top"/>
          </w:tcPr>
          <w:p w14:paraId="70FA014E">
            <w:pPr>
              <w:spacing w:before="150" w:line="219" w:lineRule="auto"/>
              <w:ind w:left="304"/>
              <w:rPr>
                <w:rFonts w:ascii="宋体" w:hAnsi="宋体" w:eastAsia="宋体" w:cs="宋体"/>
                <w:spacing w:val="4"/>
                <w:sz w:val="22"/>
                <w:szCs w:val="22"/>
              </w:rPr>
            </w:pPr>
            <w:r>
              <w:rPr>
                <w:rFonts w:ascii="宋体" w:hAnsi="宋体" w:eastAsia="宋体" w:cs="宋体"/>
                <w:spacing w:val="4"/>
                <w:sz w:val="22"/>
                <w:szCs w:val="22"/>
              </w:rPr>
              <w:t>1、常年性项目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2、延续性项目</w:t>
            </w:r>
            <w:r>
              <w:rPr>
                <w:rFonts w:hint="eastAsia" w:ascii="宋体" w:hAnsi="宋体" w:eastAsia="宋体" w:cs="宋体"/>
                <w:spacing w:val="4"/>
                <w:sz w:val="22"/>
                <w:szCs w:val="22"/>
                <w:lang w:eastAsia="zh-CN"/>
              </w:rPr>
              <w:t>□</w:t>
            </w:r>
            <w:r>
              <w:rPr>
                <w:rFonts w:ascii="宋体" w:hAnsi="宋体" w:eastAsia="宋体" w:cs="宋体"/>
                <w:spacing w:val="4"/>
                <w:sz w:val="22"/>
                <w:szCs w:val="22"/>
              </w:rPr>
              <w:t xml:space="preserve">       3、 一次性项目</w:t>
            </w:r>
            <w:r>
              <w:rPr>
                <w:rFonts w:hint="eastAsia" w:ascii="宋体" w:hAnsi="宋体" w:eastAsia="宋体" w:cs="宋体"/>
                <w:spacing w:val="4"/>
                <w:sz w:val="22"/>
                <w:szCs w:val="22"/>
                <w:lang w:eastAsia="zh-CN"/>
              </w:rPr>
              <w:t>□</w:t>
            </w:r>
          </w:p>
        </w:tc>
      </w:tr>
      <w:tr w14:paraId="37CE5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3" w:type="dxa"/>
            <w:gridSpan w:val="2"/>
            <w:vMerge w:val="restart"/>
            <w:tcBorders>
              <w:bottom w:val="nil"/>
            </w:tcBorders>
            <w:noWrap w:val="0"/>
            <w:vAlign w:val="top"/>
          </w:tcPr>
          <w:p w14:paraId="173A3AAE">
            <w:pPr>
              <w:spacing w:before="201" w:line="219" w:lineRule="auto"/>
              <w:ind w:left="85"/>
              <w:rPr>
                <w:rFonts w:ascii="宋体" w:hAnsi="宋体" w:eastAsia="宋体" w:cs="宋体"/>
                <w:sz w:val="22"/>
                <w:szCs w:val="22"/>
              </w:rPr>
            </w:pPr>
            <w:r>
              <w:rPr>
                <w:rFonts w:ascii="宋体" w:hAnsi="宋体" w:eastAsia="宋体" w:cs="宋体"/>
                <w:spacing w:val="-2"/>
                <w:sz w:val="22"/>
                <w:szCs w:val="22"/>
              </w:rPr>
              <w:t>预算执行情况</w:t>
            </w:r>
          </w:p>
          <w:p w14:paraId="7A5C3C51">
            <w:pPr>
              <w:spacing w:before="9" w:line="220" w:lineRule="auto"/>
              <w:ind w:left="415"/>
              <w:rPr>
                <w:rFonts w:ascii="宋体" w:hAnsi="宋体" w:eastAsia="宋体" w:cs="宋体"/>
                <w:sz w:val="22"/>
                <w:szCs w:val="22"/>
              </w:rPr>
            </w:pPr>
            <w:r>
              <w:rPr>
                <w:rFonts w:ascii="宋体" w:hAnsi="宋体" w:eastAsia="宋体" w:cs="宋体"/>
                <w:spacing w:val="12"/>
                <w:sz w:val="22"/>
                <w:szCs w:val="22"/>
              </w:rPr>
              <w:t>(万元)</w:t>
            </w:r>
          </w:p>
          <w:p w14:paraId="4622523B">
            <w:pPr>
              <w:spacing w:before="17" w:line="220" w:lineRule="auto"/>
              <w:ind w:left="415"/>
              <w:rPr>
                <w:rFonts w:ascii="宋体" w:hAnsi="宋体" w:eastAsia="宋体" w:cs="宋体"/>
                <w:sz w:val="22"/>
                <w:szCs w:val="22"/>
              </w:rPr>
            </w:pPr>
            <w:r>
              <w:rPr>
                <w:rFonts w:ascii="宋体" w:hAnsi="宋体" w:eastAsia="宋体" w:cs="宋体"/>
                <w:spacing w:val="9"/>
                <w:sz w:val="22"/>
                <w:szCs w:val="22"/>
              </w:rPr>
              <w:t>(20分)</w:t>
            </w:r>
          </w:p>
        </w:tc>
        <w:tc>
          <w:tcPr>
            <w:tcW w:w="1119" w:type="dxa"/>
            <w:noWrap w:val="0"/>
            <w:vAlign w:val="top"/>
          </w:tcPr>
          <w:p w14:paraId="3588F3CE">
            <w:pPr>
              <w:rPr>
                <w:rFonts w:ascii="Arial"/>
                <w:sz w:val="21"/>
              </w:rPr>
            </w:pPr>
          </w:p>
        </w:tc>
        <w:tc>
          <w:tcPr>
            <w:tcW w:w="1329" w:type="dxa"/>
            <w:noWrap w:val="0"/>
            <w:vAlign w:val="top"/>
          </w:tcPr>
          <w:p w14:paraId="35568848">
            <w:pPr>
              <w:spacing w:before="171" w:line="219" w:lineRule="auto"/>
              <w:ind w:left="163"/>
              <w:rPr>
                <w:rFonts w:ascii="宋体" w:hAnsi="宋体" w:eastAsia="宋体" w:cs="宋体"/>
                <w:sz w:val="22"/>
                <w:szCs w:val="22"/>
              </w:rPr>
            </w:pPr>
            <w:r>
              <w:rPr>
                <w:rFonts w:ascii="宋体" w:hAnsi="宋体" w:eastAsia="宋体" w:cs="宋体"/>
                <w:spacing w:val="8"/>
                <w:sz w:val="22"/>
                <w:szCs w:val="22"/>
              </w:rPr>
              <w:t>预算数(A)</w:t>
            </w:r>
          </w:p>
        </w:tc>
        <w:tc>
          <w:tcPr>
            <w:tcW w:w="1405" w:type="dxa"/>
            <w:gridSpan w:val="2"/>
            <w:noWrap w:val="0"/>
            <w:vAlign w:val="top"/>
          </w:tcPr>
          <w:p w14:paraId="6EF051D0">
            <w:pPr>
              <w:spacing w:before="171" w:line="219" w:lineRule="auto"/>
              <w:ind w:left="154"/>
              <w:rPr>
                <w:rFonts w:ascii="宋体" w:hAnsi="宋体" w:eastAsia="宋体" w:cs="宋体"/>
                <w:sz w:val="22"/>
                <w:szCs w:val="22"/>
              </w:rPr>
            </w:pPr>
            <w:r>
              <w:rPr>
                <w:rFonts w:ascii="宋体" w:hAnsi="宋体" w:eastAsia="宋体" w:cs="宋体"/>
                <w:spacing w:val="8"/>
                <w:sz w:val="22"/>
                <w:szCs w:val="22"/>
              </w:rPr>
              <w:t>执行数(B)</w:t>
            </w:r>
          </w:p>
        </w:tc>
        <w:tc>
          <w:tcPr>
            <w:tcW w:w="1371" w:type="dxa"/>
            <w:noWrap w:val="0"/>
            <w:vAlign w:val="top"/>
          </w:tcPr>
          <w:p w14:paraId="51A2E802">
            <w:pPr>
              <w:spacing w:before="171" w:line="219" w:lineRule="auto"/>
              <w:ind w:left="56"/>
              <w:rPr>
                <w:rFonts w:ascii="宋体" w:hAnsi="宋体" w:eastAsia="宋体" w:cs="宋体"/>
                <w:sz w:val="22"/>
                <w:szCs w:val="22"/>
              </w:rPr>
            </w:pPr>
            <w:r>
              <w:rPr>
                <w:rFonts w:ascii="宋体" w:hAnsi="宋体" w:eastAsia="宋体" w:cs="宋体"/>
                <w:spacing w:val="6"/>
                <w:sz w:val="22"/>
                <w:szCs w:val="22"/>
              </w:rPr>
              <w:t>执行率(B/A)</w:t>
            </w:r>
          </w:p>
        </w:tc>
        <w:tc>
          <w:tcPr>
            <w:tcW w:w="2202" w:type="dxa"/>
            <w:gridSpan w:val="3"/>
            <w:noWrap w:val="0"/>
            <w:vAlign w:val="top"/>
          </w:tcPr>
          <w:p w14:paraId="6DCDE79C">
            <w:pPr>
              <w:spacing w:before="61" w:line="218" w:lineRule="auto"/>
              <w:ind w:left="878"/>
              <w:rPr>
                <w:rFonts w:ascii="宋体" w:hAnsi="宋体" w:eastAsia="宋体" w:cs="宋体"/>
                <w:sz w:val="22"/>
                <w:szCs w:val="22"/>
              </w:rPr>
            </w:pPr>
            <w:r>
              <w:rPr>
                <w:rFonts w:ascii="宋体" w:hAnsi="宋体" w:eastAsia="宋体" w:cs="宋体"/>
                <w:spacing w:val="-3"/>
                <w:sz w:val="22"/>
                <w:szCs w:val="22"/>
              </w:rPr>
              <w:t>得分</w:t>
            </w:r>
          </w:p>
          <w:p w14:paraId="09CEC765">
            <w:pPr>
              <w:spacing w:line="192" w:lineRule="auto"/>
              <w:ind w:left="378"/>
              <w:rPr>
                <w:rFonts w:ascii="宋体" w:hAnsi="宋体" w:eastAsia="宋体" w:cs="宋体"/>
                <w:sz w:val="22"/>
                <w:szCs w:val="22"/>
              </w:rPr>
            </w:pPr>
            <w:r>
              <w:rPr>
                <w:rFonts w:ascii="宋体" w:hAnsi="宋体" w:eastAsia="宋体" w:cs="宋体"/>
                <w:spacing w:val="5"/>
                <w:sz w:val="22"/>
                <w:szCs w:val="22"/>
              </w:rPr>
              <w:t>(20分*执行率)</w:t>
            </w:r>
          </w:p>
        </w:tc>
      </w:tr>
      <w:tr w14:paraId="34068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503" w:type="dxa"/>
            <w:gridSpan w:val="2"/>
            <w:vMerge w:val="continue"/>
            <w:tcBorders>
              <w:top w:val="nil"/>
            </w:tcBorders>
            <w:noWrap w:val="0"/>
            <w:vAlign w:val="top"/>
          </w:tcPr>
          <w:p w14:paraId="731D62F3">
            <w:pPr>
              <w:rPr>
                <w:rFonts w:ascii="Arial"/>
                <w:sz w:val="21"/>
              </w:rPr>
            </w:pPr>
          </w:p>
        </w:tc>
        <w:tc>
          <w:tcPr>
            <w:tcW w:w="1119" w:type="dxa"/>
            <w:noWrap w:val="0"/>
            <w:vAlign w:val="top"/>
          </w:tcPr>
          <w:p w14:paraId="0C5EA1D6">
            <w:pPr>
              <w:spacing w:before="59" w:line="215" w:lineRule="auto"/>
              <w:ind w:left="112" w:right="108"/>
              <w:rPr>
                <w:rFonts w:ascii="宋体" w:hAnsi="宋体" w:eastAsia="宋体" w:cs="宋体"/>
                <w:sz w:val="21"/>
                <w:szCs w:val="21"/>
              </w:rPr>
            </w:pPr>
            <w:r>
              <w:t>年度财政 资金总额</w:t>
            </w:r>
          </w:p>
        </w:tc>
        <w:tc>
          <w:tcPr>
            <w:tcW w:w="1329" w:type="dxa"/>
            <w:noWrap w:val="0"/>
            <w:vAlign w:val="center"/>
          </w:tcPr>
          <w:p w14:paraId="571CD431">
            <w:pPr>
              <w:jc w:val="center"/>
              <w:rPr>
                <w:rFonts w:hint="eastAsia" w:ascii="Arial" w:eastAsia="宋体"/>
                <w:sz w:val="21"/>
                <w:lang w:val="en-US" w:eastAsia="zh-CN"/>
              </w:rPr>
            </w:pPr>
            <w:r>
              <w:rPr>
                <w:rFonts w:hint="eastAsia" w:ascii="Arial"/>
                <w:sz w:val="21"/>
                <w:lang w:val="en-US" w:eastAsia="zh-CN"/>
              </w:rPr>
              <w:t>36</w:t>
            </w:r>
          </w:p>
        </w:tc>
        <w:tc>
          <w:tcPr>
            <w:tcW w:w="1405" w:type="dxa"/>
            <w:gridSpan w:val="2"/>
            <w:noWrap w:val="0"/>
            <w:vAlign w:val="center"/>
          </w:tcPr>
          <w:p w14:paraId="3A55B740">
            <w:pPr>
              <w:jc w:val="center"/>
              <w:rPr>
                <w:rFonts w:hint="default" w:ascii="Arial" w:eastAsia="宋体"/>
                <w:color w:val="auto"/>
                <w:sz w:val="21"/>
                <w:lang w:val="en-US" w:eastAsia="zh-CN"/>
              </w:rPr>
            </w:pPr>
            <w:r>
              <w:rPr>
                <w:rFonts w:hint="eastAsia" w:ascii="Arial" w:eastAsia="宋体"/>
                <w:color w:val="auto"/>
                <w:sz w:val="21"/>
                <w:lang w:val="en-US" w:eastAsia="zh-CN"/>
              </w:rPr>
              <w:t>36</w:t>
            </w:r>
          </w:p>
        </w:tc>
        <w:tc>
          <w:tcPr>
            <w:tcW w:w="1371" w:type="dxa"/>
            <w:noWrap w:val="0"/>
            <w:vAlign w:val="center"/>
          </w:tcPr>
          <w:p w14:paraId="5ACDFBEB">
            <w:pPr>
              <w:jc w:val="center"/>
              <w:rPr>
                <w:rFonts w:hint="default" w:ascii="Arial" w:eastAsia="宋体"/>
                <w:color w:val="auto"/>
                <w:sz w:val="21"/>
                <w:lang w:val="en-US" w:eastAsia="zh-CN"/>
              </w:rPr>
            </w:pPr>
            <w:r>
              <w:rPr>
                <w:rFonts w:hint="eastAsia" w:ascii="Arial"/>
                <w:color w:val="auto"/>
                <w:sz w:val="21"/>
                <w:lang w:val="en-US" w:eastAsia="zh-CN"/>
              </w:rPr>
              <w:t>100%</w:t>
            </w:r>
          </w:p>
        </w:tc>
        <w:tc>
          <w:tcPr>
            <w:tcW w:w="2202" w:type="dxa"/>
            <w:gridSpan w:val="3"/>
            <w:noWrap w:val="0"/>
            <w:vAlign w:val="center"/>
          </w:tcPr>
          <w:p w14:paraId="21D134DD">
            <w:pPr>
              <w:jc w:val="center"/>
              <w:rPr>
                <w:rFonts w:hint="default" w:ascii="Arial" w:eastAsia="宋体"/>
                <w:color w:val="auto"/>
                <w:sz w:val="21"/>
                <w:lang w:val="en-US" w:eastAsia="zh-CN"/>
              </w:rPr>
            </w:pPr>
            <w:r>
              <w:rPr>
                <w:rFonts w:hint="eastAsia" w:ascii="Arial"/>
                <w:color w:val="auto"/>
                <w:sz w:val="21"/>
                <w:lang w:val="en-US" w:eastAsia="zh-CN"/>
              </w:rPr>
              <w:t>20</w:t>
            </w:r>
          </w:p>
        </w:tc>
      </w:tr>
      <w:tr w14:paraId="5D733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4" w:type="dxa"/>
            <w:vMerge w:val="restart"/>
            <w:noWrap w:val="0"/>
            <w:vAlign w:val="top"/>
          </w:tcPr>
          <w:p w14:paraId="11F49251">
            <w:pPr>
              <w:spacing w:line="269" w:lineRule="auto"/>
              <w:rPr>
                <w:rFonts w:ascii="Arial"/>
                <w:sz w:val="21"/>
              </w:rPr>
            </w:pPr>
          </w:p>
          <w:p w14:paraId="469DFE44">
            <w:pPr>
              <w:spacing w:line="269" w:lineRule="auto"/>
              <w:rPr>
                <w:rFonts w:ascii="Arial"/>
                <w:sz w:val="21"/>
              </w:rPr>
            </w:pPr>
          </w:p>
          <w:p w14:paraId="7CF4C185">
            <w:pPr>
              <w:spacing w:line="269" w:lineRule="auto"/>
              <w:rPr>
                <w:rFonts w:ascii="Arial"/>
                <w:sz w:val="21"/>
              </w:rPr>
            </w:pPr>
          </w:p>
          <w:p w14:paraId="3409D9C5">
            <w:pPr>
              <w:spacing w:line="270" w:lineRule="auto"/>
              <w:rPr>
                <w:rFonts w:ascii="Arial"/>
                <w:sz w:val="21"/>
              </w:rPr>
            </w:pPr>
          </w:p>
          <w:p w14:paraId="3AD690F7">
            <w:pPr>
              <w:spacing w:line="270" w:lineRule="auto"/>
              <w:rPr>
                <w:rFonts w:ascii="Arial"/>
                <w:sz w:val="21"/>
              </w:rPr>
            </w:pPr>
          </w:p>
          <w:p w14:paraId="37800C9E">
            <w:pPr>
              <w:spacing w:line="270" w:lineRule="auto"/>
              <w:rPr>
                <w:rFonts w:ascii="Arial"/>
                <w:sz w:val="21"/>
              </w:rPr>
            </w:pPr>
          </w:p>
          <w:p w14:paraId="2A2D6F2A">
            <w:pPr>
              <w:spacing w:line="270" w:lineRule="auto"/>
              <w:rPr>
                <w:rFonts w:ascii="Arial"/>
                <w:sz w:val="21"/>
              </w:rPr>
            </w:pPr>
          </w:p>
          <w:p w14:paraId="2D567DC4">
            <w:pPr>
              <w:jc w:val="center"/>
              <w:rPr>
                <w:b/>
                <w:bCs/>
              </w:rPr>
            </w:pPr>
          </w:p>
          <w:p w14:paraId="003F42FF">
            <w:pPr>
              <w:jc w:val="center"/>
              <w:rPr>
                <w:b/>
                <w:bCs/>
              </w:rPr>
            </w:pPr>
            <w:r>
              <w:rPr>
                <w:b/>
                <w:bCs/>
              </w:rPr>
              <w:t>年</w:t>
            </w:r>
          </w:p>
          <w:p w14:paraId="5203980D">
            <w:pPr>
              <w:jc w:val="center"/>
              <w:rPr>
                <w:b/>
                <w:bCs/>
              </w:rPr>
            </w:pPr>
            <w:r>
              <w:rPr>
                <w:b/>
                <w:bCs/>
              </w:rPr>
              <w:t>度</w:t>
            </w:r>
          </w:p>
          <w:p w14:paraId="665E5AE0">
            <w:pPr>
              <w:jc w:val="center"/>
              <w:rPr>
                <w:b/>
                <w:bCs/>
              </w:rPr>
            </w:pPr>
            <w:r>
              <w:rPr>
                <w:b/>
                <w:bCs/>
              </w:rPr>
              <w:t>绩</w:t>
            </w:r>
          </w:p>
          <w:p w14:paraId="3663C75D">
            <w:pPr>
              <w:jc w:val="center"/>
              <w:rPr>
                <w:b/>
                <w:bCs/>
              </w:rPr>
            </w:pPr>
            <w:r>
              <w:rPr>
                <w:b/>
                <w:bCs/>
              </w:rPr>
              <w:t>效</w:t>
            </w:r>
          </w:p>
          <w:p w14:paraId="26EB5E8A">
            <w:pPr>
              <w:jc w:val="center"/>
              <w:rPr>
                <w:b/>
                <w:bCs/>
              </w:rPr>
            </w:pPr>
            <w:r>
              <w:rPr>
                <w:b/>
                <w:bCs/>
              </w:rPr>
              <w:t>目</w:t>
            </w:r>
          </w:p>
          <w:p w14:paraId="6C47C98B">
            <w:pPr>
              <w:jc w:val="center"/>
              <w:rPr>
                <w:b/>
                <w:bCs/>
              </w:rPr>
            </w:pPr>
            <w:r>
              <w:rPr>
                <w:b/>
                <w:bCs/>
              </w:rPr>
              <w:t>标</w:t>
            </w:r>
          </w:p>
          <w:p w14:paraId="25621E5C">
            <w:pPr>
              <w:jc w:val="center"/>
              <w:rPr>
                <w:b/>
                <w:bCs/>
              </w:rPr>
            </w:pPr>
            <w:r>
              <w:rPr>
                <w:b/>
                <w:bCs/>
              </w:rPr>
              <w:t>1</w:t>
            </w:r>
          </w:p>
          <w:p w14:paraId="27E8DD1B">
            <w:pPr>
              <w:jc w:val="center"/>
              <w:rPr>
                <w:rFonts w:ascii="宋体" w:hAnsi="宋体" w:eastAsia="宋体" w:cs="宋体"/>
                <w:sz w:val="22"/>
                <w:szCs w:val="22"/>
              </w:rPr>
            </w:pPr>
            <w:r>
              <w:rPr>
                <w:b/>
                <w:bCs/>
              </w:rPr>
              <w:t>(</w:t>
            </w:r>
            <w:r>
              <w:rPr>
                <w:rFonts w:hint="eastAsia"/>
                <w:b/>
                <w:bCs/>
                <w:lang w:val="en-US" w:eastAsia="zh-CN"/>
              </w:rPr>
              <w:t>80</w:t>
            </w:r>
            <w:r>
              <w:rPr>
                <w:b/>
                <w:bCs/>
              </w:rPr>
              <w:t>分 )</w:t>
            </w:r>
          </w:p>
        </w:tc>
        <w:tc>
          <w:tcPr>
            <w:tcW w:w="689" w:type="dxa"/>
            <w:noWrap w:val="0"/>
            <w:vAlign w:val="top"/>
          </w:tcPr>
          <w:p w14:paraId="19A4494E">
            <w:pPr>
              <w:spacing w:before="54" w:line="213" w:lineRule="auto"/>
              <w:ind w:left="110" w:right="114"/>
              <w:jc w:val="both"/>
              <w:rPr>
                <w:rFonts w:ascii="宋体" w:hAnsi="宋体" w:eastAsia="宋体" w:cs="宋体"/>
                <w:b/>
                <w:bCs/>
                <w:sz w:val="21"/>
                <w:szCs w:val="21"/>
              </w:rPr>
            </w:pPr>
            <w:r>
              <w:rPr>
                <w:rFonts w:hint="eastAsia"/>
                <w:b/>
                <w:bCs/>
                <w:lang w:val="en-US" w:eastAsia="zh-CN"/>
              </w:rPr>
              <w:t>一</w:t>
            </w:r>
            <w:r>
              <w:rPr>
                <w:b/>
                <w:bCs/>
              </w:rPr>
              <w:t>级 指标</w:t>
            </w:r>
          </w:p>
        </w:tc>
        <w:tc>
          <w:tcPr>
            <w:tcW w:w="1119" w:type="dxa"/>
            <w:noWrap w:val="0"/>
            <w:vAlign w:val="top"/>
          </w:tcPr>
          <w:p w14:paraId="14D39640">
            <w:pPr>
              <w:spacing w:before="162" w:line="220" w:lineRule="auto"/>
              <w:ind w:left="112"/>
              <w:jc w:val="both"/>
              <w:rPr>
                <w:rFonts w:ascii="宋体" w:hAnsi="宋体" w:eastAsia="宋体" w:cs="宋体"/>
                <w:b/>
                <w:bCs/>
                <w:sz w:val="22"/>
                <w:szCs w:val="22"/>
              </w:rPr>
            </w:pPr>
            <w:r>
              <w:rPr>
                <w:rFonts w:ascii="宋体" w:hAnsi="宋体" w:eastAsia="宋体" w:cs="宋体"/>
                <w:b/>
                <w:bCs/>
                <w:spacing w:val="2"/>
                <w:sz w:val="22"/>
                <w:szCs w:val="22"/>
              </w:rPr>
              <w:t>二级指标</w:t>
            </w:r>
          </w:p>
        </w:tc>
        <w:tc>
          <w:tcPr>
            <w:tcW w:w="2734" w:type="dxa"/>
            <w:gridSpan w:val="3"/>
            <w:noWrap w:val="0"/>
            <w:vAlign w:val="top"/>
          </w:tcPr>
          <w:p w14:paraId="316BF35B">
            <w:pPr>
              <w:spacing w:before="162" w:line="220" w:lineRule="auto"/>
              <w:ind w:left="873"/>
              <w:jc w:val="both"/>
              <w:rPr>
                <w:rFonts w:ascii="宋体" w:hAnsi="宋体" w:eastAsia="宋体" w:cs="宋体"/>
                <w:b/>
                <w:bCs/>
                <w:sz w:val="22"/>
                <w:szCs w:val="22"/>
              </w:rPr>
            </w:pPr>
            <w:r>
              <w:rPr>
                <w:rFonts w:ascii="宋体" w:hAnsi="宋体" w:eastAsia="宋体" w:cs="宋体"/>
                <w:b/>
                <w:bCs/>
                <w:spacing w:val="-2"/>
                <w:sz w:val="22"/>
                <w:szCs w:val="22"/>
              </w:rPr>
              <w:t>三级指标</w:t>
            </w:r>
          </w:p>
        </w:tc>
        <w:tc>
          <w:tcPr>
            <w:tcW w:w="1371" w:type="dxa"/>
            <w:noWrap w:val="0"/>
            <w:vAlign w:val="top"/>
          </w:tcPr>
          <w:p w14:paraId="5B8F1162">
            <w:pPr>
              <w:spacing w:before="52" w:line="219" w:lineRule="auto"/>
              <w:ind w:left="166"/>
              <w:jc w:val="both"/>
              <w:rPr>
                <w:rFonts w:ascii="宋体" w:hAnsi="宋体" w:eastAsia="宋体" w:cs="宋体"/>
                <w:sz w:val="22"/>
                <w:szCs w:val="22"/>
              </w:rPr>
            </w:pPr>
            <w:r>
              <w:rPr>
                <w:rFonts w:ascii="宋体" w:hAnsi="宋体" w:eastAsia="宋体" w:cs="宋体"/>
                <w:spacing w:val="-2"/>
                <w:sz w:val="22"/>
                <w:szCs w:val="22"/>
              </w:rPr>
              <w:t>年初目标值</w:t>
            </w:r>
          </w:p>
          <w:p w14:paraId="1485DFC9">
            <w:pPr>
              <w:spacing w:before="22" w:line="188" w:lineRule="auto"/>
              <w:ind w:left="526"/>
              <w:jc w:val="both"/>
              <w:rPr>
                <w:rFonts w:ascii="宋体" w:hAnsi="宋体" w:eastAsia="宋体" w:cs="宋体"/>
                <w:sz w:val="20"/>
                <w:szCs w:val="20"/>
              </w:rPr>
            </w:pPr>
            <w:r>
              <w:rPr>
                <w:rFonts w:ascii="宋体" w:hAnsi="宋体" w:eastAsia="宋体" w:cs="宋体"/>
                <w:spacing w:val="-4"/>
                <w:sz w:val="20"/>
                <w:szCs w:val="20"/>
              </w:rPr>
              <w:t>(A)</w:t>
            </w:r>
          </w:p>
        </w:tc>
        <w:tc>
          <w:tcPr>
            <w:tcW w:w="1318" w:type="dxa"/>
            <w:gridSpan w:val="2"/>
            <w:noWrap w:val="0"/>
            <w:vAlign w:val="top"/>
          </w:tcPr>
          <w:p w14:paraId="5ABB52E4">
            <w:pPr>
              <w:spacing w:before="52" w:line="219" w:lineRule="auto"/>
              <w:ind w:left="107"/>
              <w:jc w:val="both"/>
              <w:rPr>
                <w:rFonts w:ascii="宋体" w:hAnsi="宋体" w:eastAsia="宋体" w:cs="宋体"/>
                <w:sz w:val="22"/>
                <w:szCs w:val="22"/>
              </w:rPr>
            </w:pPr>
            <w:r>
              <w:rPr>
                <w:rFonts w:ascii="宋体" w:hAnsi="宋体" w:eastAsia="宋体" w:cs="宋体"/>
                <w:spacing w:val="1"/>
                <w:sz w:val="22"/>
                <w:szCs w:val="22"/>
              </w:rPr>
              <w:t>实际完成值</w:t>
            </w:r>
          </w:p>
          <w:p w14:paraId="2709793B">
            <w:pPr>
              <w:spacing w:before="11" w:line="188" w:lineRule="auto"/>
              <w:ind w:left="488"/>
              <w:jc w:val="both"/>
              <w:rPr>
                <w:rFonts w:ascii="宋体" w:hAnsi="宋体" w:eastAsia="宋体" w:cs="宋体"/>
                <w:sz w:val="21"/>
                <w:szCs w:val="21"/>
              </w:rPr>
            </w:pPr>
            <w:r>
              <w:rPr>
                <w:rFonts w:ascii="宋体" w:hAnsi="宋体" w:eastAsia="宋体" w:cs="宋体"/>
                <w:spacing w:val="-8"/>
                <w:sz w:val="21"/>
                <w:szCs w:val="21"/>
              </w:rPr>
              <w:t>(B)</w:t>
            </w:r>
          </w:p>
        </w:tc>
        <w:tc>
          <w:tcPr>
            <w:tcW w:w="884" w:type="dxa"/>
            <w:noWrap w:val="0"/>
            <w:vAlign w:val="top"/>
          </w:tcPr>
          <w:p w14:paraId="5B1C9F60">
            <w:pPr>
              <w:spacing w:before="162" w:line="219" w:lineRule="auto"/>
              <w:ind w:left="220"/>
              <w:jc w:val="both"/>
              <w:rPr>
                <w:rFonts w:ascii="宋体" w:hAnsi="宋体" w:eastAsia="宋体" w:cs="宋体"/>
                <w:sz w:val="22"/>
                <w:szCs w:val="22"/>
              </w:rPr>
            </w:pPr>
            <w:r>
              <w:rPr>
                <w:rFonts w:ascii="宋体" w:hAnsi="宋体" w:eastAsia="宋体" w:cs="宋体"/>
                <w:spacing w:val="-3"/>
                <w:sz w:val="22"/>
                <w:szCs w:val="22"/>
              </w:rPr>
              <w:t>得分</w:t>
            </w:r>
          </w:p>
        </w:tc>
      </w:tr>
      <w:tr w14:paraId="0EBEC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14" w:type="dxa"/>
            <w:vMerge w:val="continue"/>
            <w:noWrap w:val="0"/>
            <w:vAlign w:val="top"/>
          </w:tcPr>
          <w:p w14:paraId="1AA25419">
            <w:pPr>
              <w:rPr>
                <w:rFonts w:ascii="Arial"/>
                <w:sz w:val="21"/>
              </w:rPr>
            </w:pPr>
          </w:p>
        </w:tc>
        <w:tc>
          <w:tcPr>
            <w:tcW w:w="689" w:type="dxa"/>
            <w:vMerge w:val="restart"/>
            <w:tcBorders>
              <w:bottom w:val="nil"/>
            </w:tcBorders>
            <w:noWrap w:val="0"/>
            <w:vAlign w:val="center"/>
          </w:tcPr>
          <w:p w14:paraId="5D4CF547">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产</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出</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标</w:t>
            </w:r>
          </w:p>
          <w:p w14:paraId="6734476A">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（40分）</w:t>
            </w:r>
          </w:p>
        </w:tc>
        <w:tc>
          <w:tcPr>
            <w:tcW w:w="1119" w:type="dxa"/>
            <w:vMerge w:val="restart"/>
            <w:noWrap w:val="0"/>
            <w:vAlign w:val="center"/>
          </w:tcPr>
          <w:p w14:paraId="1EEE267C">
            <w:pPr>
              <w:keepNext w:val="0"/>
              <w:keepLines w:val="0"/>
              <w:widowControl/>
              <w:suppressLineNumbers w:val="0"/>
              <w:jc w:val="center"/>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数量指标</w:t>
            </w:r>
          </w:p>
        </w:tc>
        <w:tc>
          <w:tcPr>
            <w:tcW w:w="2734" w:type="dxa"/>
            <w:gridSpan w:val="3"/>
            <w:noWrap w:val="0"/>
            <w:vAlign w:val="center"/>
          </w:tcPr>
          <w:p w14:paraId="392A82B6">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“四上”企业</w:t>
            </w:r>
          </w:p>
        </w:tc>
        <w:tc>
          <w:tcPr>
            <w:tcW w:w="1371" w:type="dxa"/>
            <w:noWrap w:val="0"/>
            <w:vAlign w:val="center"/>
          </w:tcPr>
          <w:p w14:paraId="20655818">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220户</w:t>
            </w:r>
          </w:p>
        </w:tc>
        <w:tc>
          <w:tcPr>
            <w:tcW w:w="1318" w:type="dxa"/>
            <w:gridSpan w:val="2"/>
            <w:noWrap w:val="0"/>
            <w:vAlign w:val="center"/>
          </w:tcPr>
          <w:p w14:paraId="25ACCC9F">
            <w:pPr>
              <w:keepNext w:val="0"/>
              <w:keepLines w:val="0"/>
              <w:widowControl/>
              <w:suppressLineNumbers w:val="0"/>
              <w:jc w:val="both"/>
              <w:textAlignment w:val="center"/>
              <w:rPr>
                <w:rFonts w:ascii="Arial"/>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220户</w:t>
            </w:r>
          </w:p>
        </w:tc>
        <w:tc>
          <w:tcPr>
            <w:tcW w:w="884" w:type="dxa"/>
            <w:noWrap w:val="0"/>
            <w:vAlign w:val="center"/>
          </w:tcPr>
          <w:p w14:paraId="722A60A3">
            <w:pPr>
              <w:jc w:val="both"/>
              <w:rPr>
                <w:rFonts w:hint="eastAsia" w:ascii="Arial" w:eastAsia="宋体"/>
                <w:sz w:val="21"/>
                <w:lang w:val="en-US" w:eastAsia="zh-CN"/>
              </w:rPr>
            </w:pPr>
            <w:r>
              <w:rPr>
                <w:rFonts w:hint="eastAsia" w:ascii="Arial"/>
                <w:sz w:val="21"/>
                <w:lang w:val="en-US" w:eastAsia="zh-CN"/>
              </w:rPr>
              <w:t>5分</w:t>
            </w:r>
          </w:p>
        </w:tc>
      </w:tr>
      <w:tr w14:paraId="1D4FC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588816BB">
            <w:pPr>
              <w:rPr>
                <w:rFonts w:ascii="Arial"/>
                <w:sz w:val="21"/>
              </w:rPr>
            </w:pPr>
          </w:p>
        </w:tc>
        <w:tc>
          <w:tcPr>
            <w:tcW w:w="689" w:type="dxa"/>
            <w:vMerge w:val="continue"/>
            <w:tcBorders>
              <w:top w:val="nil"/>
              <w:bottom w:val="nil"/>
            </w:tcBorders>
            <w:noWrap w:val="0"/>
            <w:vAlign w:val="center"/>
          </w:tcPr>
          <w:p w14:paraId="126DBE2F">
            <w:pPr>
              <w:jc w:val="center"/>
              <w:rPr>
                <w:b/>
                <w:bCs/>
              </w:rPr>
            </w:pPr>
          </w:p>
        </w:tc>
        <w:tc>
          <w:tcPr>
            <w:tcW w:w="1119" w:type="dxa"/>
            <w:vMerge w:val="continue"/>
            <w:noWrap w:val="0"/>
            <w:vAlign w:val="center"/>
          </w:tcPr>
          <w:p w14:paraId="20C171F0">
            <w:pPr>
              <w:jc w:val="center"/>
              <w:rPr>
                <w:rFonts w:ascii="Arial"/>
                <w:sz w:val="21"/>
              </w:rPr>
            </w:pPr>
          </w:p>
        </w:tc>
        <w:tc>
          <w:tcPr>
            <w:tcW w:w="2734" w:type="dxa"/>
            <w:gridSpan w:val="3"/>
            <w:noWrap w:val="0"/>
            <w:vAlign w:val="center"/>
          </w:tcPr>
          <w:p w14:paraId="3B192652">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城乡一体化住户电子记账户</w:t>
            </w:r>
          </w:p>
        </w:tc>
        <w:tc>
          <w:tcPr>
            <w:tcW w:w="1371" w:type="dxa"/>
            <w:noWrap w:val="0"/>
            <w:vAlign w:val="center"/>
          </w:tcPr>
          <w:p w14:paraId="5F438CD4">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50户</w:t>
            </w:r>
          </w:p>
        </w:tc>
        <w:tc>
          <w:tcPr>
            <w:tcW w:w="1318" w:type="dxa"/>
            <w:gridSpan w:val="2"/>
            <w:noWrap w:val="0"/>
            <w:vAlign w:val="center"/>
          </w:tcPr>
          <w:p w14:paraId="28224608">
            <w:pPr>
              <w:keepNext w:val="0"/>
              <w:keepLines w:val="0"/>
              <w:widowControl/>
              <w:suppressLineNumbers w:val="0"/>
              <w:jc w:val="both"/>
              <w:textAlignment w:val="center"/>
              <w:rPr>
                <w:rFonts w:ascii="Arial"/>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50户</w:t>
            </w:r>
          </w:p>
        </w:tc>
        <w:tc>
          <w:tcPr>
            <w:tcW w:w="884" w:type="dxa"/>
            <w:noWrap w:val="0"/>
            <w:vAlign w:val="center"/>
          </w:tcPr>
          <w:p w14:paraId="201CB834">
            <w:pPr>
              <w:jc w:val="both"/>
              <w:rPr>
                <w:rFonts w:ascii="Arial"/>
                <w:sz w:val="21"/>
              </w:rPr>
            </w:pPr>
            <w:r>
              <w:rPr>
                <w:rFonts w:hint="eastAsia" w:ascii="Arial"/>
                <w:sz w:val="21"/>
                <w:lang w:val="en-US" w:eastAsia="zh-CN"/>
              </w:rPr>
              <w:t>5分</w:t>
            </w:r>
          </w:p>
        </w:tc>
      </w:tr>
      <w:tr w14:paraId="00DA9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0A144E12">
            <w:pPr>
              <w:rPr>
                <w:rFonts w:ascii="Arial"/>
                <w:sz w:val="21"/>
              </w:rPr>
            </w:pPr>
          </w:p>
        </w:tc>
        <w:tc>
          <w:tcPr>
            <w:tcW w:w="689" w:type="dxa"/>
            <w:vMerge w:val="continue"/>
            <w:tcBorders>
              <w:top w:val="nil"/>
              <w:bottom w:val="nil"/>
            </w:tcBorders>
            <w:noWrap w:val="0"/>
            <w:vAlign w:val="center"/>
          </w:tcPr>
          <w:p w14:paraId="6E9A8DE6">
            <w:pPr>
              <w:jc w:val="center"/>
              <w:rPr>
                <w:b/>
                <w:bCs/>
              </w:rPr>
            </w:pPr>
          </w:p>
        </w:tc>
        <w:tc>
          <w:tcPr>
            <w:tcW w:w="1119" w:type="dxa"/>
            <w:vMerge w:val="continue"/>
            <w:noWrap w:val="0"/>
            <w:vAlign w:val="center"/>
          </w:tcPr>
          <w:p w14:paraId="7AEAAC15">
            <w:pPr>
              <w:jc w:val="center"/>
              <w:rPr>
                <w:rFonts w:ascii="宋体" w:hAnsi="宋体" w:eastAsia="宋体" w:cs="宋体"/>
                <w:sz w:val="22"/>
                <w:szCs w:val="22"/>
              </w:rPr>
            </w:pPr>
          </w:p>
        </w:tc>
        <w:tc>
          <w:tcPr>
            <w:tcW w:w="2734" w:type="dxa"/>
            <w:gridSpan w:val="3"/>
            <w:noWrap w:val="0"/>
            <w:vAlign w:val="center"/>
          </w:tcPr>
          <w:p w14:paraId="1E89A211">
            <w:pPr>
              <w:jc w:val="left"/>
              <w:rPr>
                <w:rFonts w:ascii="Arial"/>
                <w:sz w:val="21"/>
              </w:rPr>
            </w:pPr>
          </w:p>
        </w:tc>
        <w:tc>
          <w:tcPr>
            <w:tcW w:w="1371" w:type="dxa"/>
            <w:noWrap w:val="0"/>
            <w:vAlign w:val="center"/>
          </w:tcPr>
          <w:p w14:paraId="15F1C3B2">
            <w:pPr>
              <w:rPr>
                <w:rFonts w:ascii="Arial"/>
                <w:sz w:val="21"/>
              </w:rPr>
            </w:pPr>
          </w:p>
        </w:tc>
        <w:tc>
          <w:tcPr>
            <w:tcW w:w="1318" w:type="dxa"/>
            <w:gridSpan w:val="2"/>
            <w:noWrap w:val="0"/>
            <w:vAlign w:val="center"/>
          </w:tcPr>
          <w:p w14:paraId="3F1E953E">
            <w:pPr>
              <w:jc w:val="both"/>
              <w:rPr>
                <w:rFonts w:ascii="Arial"/>
                <w:kern w:val="2"/>
                <w:sz w:val="21"/>
                <w:lang w:val="en-US" w:eastAsia="zh-CN" w:bidi="ar-SA"/>
              </w:rPr>
            </w:pPr>
          </w:p>
        </w:tc>
        <w:tc>
          <w:tcPr>
            <w:tcW w:w="884" w:type="dxa"/>
            <w:noWrap w:val="0"/>
            <w:vAlign w:val="center"/>
          </w:tcPr>
          <w:p w14:paraId="20580F25">
            <w:pPr>
              <w:jc w:val="both"/>
              <w:rPr>
                <w:rFonts w:ascii="Arial"/>
                <w:sz w:val="21"/>
              </w:rPr>
            </w:pPr>
          </w:p>
        </w:tc>
      </w:tr>
      <w:tr w14:paraId="74BF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44F655A2">
            <w:pPr>
              <w:rPr>
                <w:rFonts w:ascii="Arial"/>
                <w:sz w:val="21"/>
              </w:rPr>
            </w:pPr>
          </w:p>
        </w:tc>
        <w:tc>
          <w:tcPr>
            <w:tcW w:w="689" w:type="dxa"/>
            <w:vMerge w:val="continue"/>
            <w:tcBorders>
              <w:top w:val="nil"/>
            </w:tcBorders>
            <w:noWrap w:val="0"/>
            <w:vAlign w:val="center"/>
          </w:tcPr>
          <w:p w14:paraId="3A0CB71C">
            <w:pPr>
              <w:jc w:val="center"/>
              <w:rPr>
                <w:b/>
                <w:bCs/>
              </w:rPr>
            </w:pPr>
          </w:p>
        </w:tc>
        <w:tc>
          <w:tcPr>
            <w:tcW w:w="1119" w:type="dxa"/>
            <w:vMerge w:val="restart"/>
            <w:noWrap w:val="0"/>
            <w:vAlign w:val="center"/>
          </w:tcPr>
          <w:p w14:paraId="7480A93A">
            <w:pPr>
              <w:keepNext w:val="0"/>
              <w:keepLines w:val="0"/>
              <w:widowControl/>
              <w:suppressLineNumbers w:val="0"/>
              <w:jc w:val="center"/>
              <w:textAlignment w:val="center"/>
              <w:rPr>
                <w:rFonts w:ascii="宋体" w:hAnsi="宋体" w:eastAsia="宋体" w:cs="宋体"/>
                <w:sz w:val="22"/>
                <w:szCs w:val="22"/>
              </w:rPr>
            </w:pPr>
            <w:r>
              <w:rPr>
                <w:rFonts w:hint="eastAsia" w:ascii="仿宋" w:hAnsi="仿宋" w:eastAsia="仿宋" w:cs="仿宋"/>
                <w:i w:val="0"/>
                <w:iCs w:val="0"/>
                <w:color w:val="000000"/>
                <w:kern w:val="0"/>
                <w:sz w:val="22"/>
                <w:szCs w:val="22"/>
                <w:u w:val="none"/>
                <w:lang w:val="en-US" w:eastAsia="zh-CN" w:bidi="ar"/>
              </w:rPr>
              <w:t>质量指标</w:t>
            </w:r>
          </w:p>
        </w:tc>
        <w:tc>
          <w:tcPr>
            <w:tcW w:w="2734" w:type="dxa"/>
            <w:gridSpan w:val="3"/>
            <w:noWrap w:val="0"/>
            <w:vAlign w:val="center"/>
          </w:tcPr>
          <w:p w14:paraId="1BB74CEC">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准确率</w:t>
            </w:r>
          </w:p>
        </w:tc>
        <w:tc>
          <w:tcPr>
            <w:tcW w:w="1371" w:type="dxa"/>
            <w:noWrap w:val="0"/>
            <w:vAlign w:val="center"/>
          </w:tcPr>
          <w:p w14:paraId="31431306">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4"/>
                <w:szCs w:val="24"/>
                <w:u w:val="none"/>
                <w:lang w:val="en-US" w:eastAsia="zh-CN" w:bidi="ar"/>
              </w:rPr>
              <w:t>95%以上</w:t>
            </w:r>
          </w:p>
        </w:tc>
        <w:tc>
          <w:tcPr>
            <w:tcW w:w="1318" w:type="dxa"/>
            <w:gridSpan w:val="2"/>
            <w:noWrap w:val="0"/>
            <w:vAlign w:val="center"/>
          </w:tcPr>
          <w:p w14:paraId="67808024">
            <w:pPr>
              <w:keepNext w:val="0"/>
              <w:keepLines w:val="0"/>
              <w:widowControl/>
              <w:suppressLineNumbers w:val="0"/>
              <w:jc w:val="both"/>
              <w:textAlignment w:val="center"/>
              <w:rPr>
                <w:rFonts w:ascii="Arial"/>
                <w:kern w:val="2"/>
                <w:sz w:val="21"/>
                <w:lang w:val="en-US" w:eastAsia="zh-CN" w:bidi="ar-SA"/>
              </w:rPr>
            </w:pPr>
            <w:r>
              <w:rPr>
                <w:rFonts w:hint="eastAsia" w:ascii="仿宋" w:hAnsi="仿宋" w:eastAsia="仿宋" w:cs="仿宋"/>
                <w:i w:val="0"/>
                <w:iCs w:val="0"/>
                <w:color w:val="000000"/>
                <w:kern w:val="0"/>
                <w:sz w:val="24"/>
                <w:szCs w:val="24"/>
                <w:u w:val="none"/>
                <w:lang w:val="en-US" w:eastAsia="zh-CN" w:bidi="ar"/>
              </w:rPr>
              <w:t>95%以上</w:t>
            </w:r>
          </w:p>
        </w:tc>
        <w:tc>
          <w:tcPr>
            <w:tcW w:w="884" w:type="dxa"/>
            <w:noWrap w:val="0"/>
            <w:vAlign w:val="center"/>
          </w:tcPr>
          <w:p w14:paraId="38A6E5D5">
            <w:pPr>
              <w:jc w:val="both"/>
              <w:rPr>
                <w:rFonts w:ascii="Arial"/>
                <w:sz w:val="21"/>
              </w:rPr>
            </w:pPr>
            <w:r>
              <w:rPr>
                <w:rFonts w:hint="eastAsia" w:ascii="Arial"/>
                <w:sz w:val="21"/>
                <w:lang w:val="en-US" w:eastAsia="zh-CN"/>
              </w:rPr>
              <w:t>10分</w:t>
            </w:r>
          </w:p>
        </w:tc>
      </w:tr>
      <w:tr w14:paraId="0169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814" w:type="dxa"/>
            <w:vMerge w:val="continue"/>
            <w:noWrap w:val="0"/>
            <w:vAlign w:val="top"/>
          </w:tcPr>
          <w:p w14:paraId="7EC14A0D">
            <w:pPr>
              <w:rPr>
                <w:rFonts w:ascii="Arial"/>
                <w:sz w:val="21"/>
              </w:rPr>
            </w:pPr>
          </w:p>
        </w:tc>
        <w:tc>
          <w:tcPr>
            <w:tcW w:w="689" w:type="dxa"/>
            <w:vMerge w:val="continue"/>
            <w:tcBorders>
              <w:bottom w:val="nil"/>
            </w:tcBorders>
            <w:noWrap w:val="0"/>
            <w:vAlign w:val="center"/>
          </w:tcPr>
          <w:p w14:paraId="027B976F">
            <w:pPr>
              <w:jc w:val="center"/>
              <w:rPr>
                <w:rFonts w:ascii="Calibri" w:hAnsi="Calibri" w:eastAsia="宋体" w:cs="Times New Roman"/>
                <w:b/>
                <w:bCs/>
              </w:rPr>
            </w:pPr>
          </w:p>
        </w:tc>
        <w:tc>
          <w:tcPr>
            <w:tcW w:w="1119" w:type="dxa"/>
            <w:vMerge w:val="continue"/>
            <w:noWrap w:val="0"/>
            <w:vAlign w:val="center"/>
          </w:tcPr>
          <w:p w14:paraId="3D39720E">
            <w:pPr>
              <w:jc w:val="center"/>
              <w:rPr>
                <w:rFonts w:ascii="宋体" w:hAnsi="宋体" w:eastAsia="宋体" w:cs="宋体"/>
                <w:sz w:val="11"/>
                <w:szCs w:val="11"/>
              </w:rPr>
            </w:pPr>
          </w:p>
        </w:tc>
        <w:tc>
          <w:tcPr>
            <w:tcW w:w="2734" w:type="dxa"/>
            <w:gridSpan w:val="3"/>
            <w:noWrap w:val="0"/>
            <w:vAlign w:val="center"/>
          </w:tcPr>
          <w:p w14:paraId="3098C7D6">
            <w:pPr>
              <w:jc w:val="left"/>
              <w:rPr>
                <w:rFonts w:ascii="Arial"/>
                <w:sz w:val="21"/>
              </w:rPr>
            </w:pPr>
          </w:p>
        </w:tc>
        <w:tc>
          <w:tcPr>
            <w:tcW w:w="1371" w:type="dxa"/>
            <w:noWrap w:val="0"/>
            <w:vAlign w:val="center"/>
          </w:tcPr>
          <w:p w14:paraId="08FD9765">
            <w:pPr>
              <w:jc w:val="left"/>
              <w:rPr>
                <w:rFonts w:ascii="Arial"/>
                <w:sz w:val="21"/>
              </w:rPr>
            </w:pPr>
          </w:p>
        </w:tc>
        <w:tc>
          <w:tcPr>
            <w:tcW w:w="1318" w:type="dxa"/>
            <w:gridSpan w:val="2"/>
            <w:noWrap w:val="0"/>
            <w:vAlign w:val="center"/>
          </w:tcPr>
          <w:p w14:paraId="242F8C85">
            <w:pPr>
              <w:jc w:val="both"/>
              <w:rPr>
                <w:rFonts w:ascii="Arial"/>
                <w:kern w:val="2"/>
                <w:sz w:val="21"/>
                <w:lang w:val="en-US" w:eastAsia="zh-CN" w:bidi="ar-SA"/>
              </w:rPr>
            </w:pPr>
          </w:p>
        </w:tc>
        <w:tc>
          <w:tcPr>
            <w:tcW w:w="884" w:type="dxa"/>
            <w:noWrap w:val="0"/>
            <w:vAlign w:val="center"/>
          </w:tcPr>
          <w:p w14:paraId="7F4FBEE6">
            <w:pPr>
              <w:jc w:val="both"/>
              <w:rPr>
                <w:rFonts w:ascii="Arial"/>
                <w:sz w:val="21"/>
              </w:rPr>
            </w:pPr>
          </w:p>
        </w:tc>
      </w:tr>
      <w:tr w14:paraId="5729E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048E39AC">
            <w:pPr>
              <w:rPr>
                <w:rFonts w:ascii="Arial"/>
                <w:sz w:val="21"/>
              </w:rPr>
            </w:pPr>
          </w:p>
        </w:tc>
        <w:tc>
          <w:tcPr>
            <w:tcW w:w="689" w:type="dxa"/>
            <w:vMerge w:val="continue"/>
            <w:tcBorders>
              <w:top w:val="nil"/>
              <w:bottom w:val="nil"/>
            </w:tcBorders>
            <w:noWrap w:val="0"/>
            <w:vAlign w:val="center"/>
          </w:tcPr>
          <w:p w14:paraId="280F0B6A">
            <w:pPr>
              <w:jc w:val="center"/>
              <w:rPr>
                <w:rFonts w:ascii="Calibri" w:hAnsi="Calibri" w:eastAsia="宋体" w:cs="Times New Roman"/>
                <w:b/>
                <w:bCs/>
              </w:rPr>
            </w:pPr>
          </w:p>
        </w:tc>
        <w:tc>
          <w:tcPr>
            <w:tcW w:w="1119" w:type="dxa"/>
            <w:vMerge w:val="continue"/>
            <w:noWrap w:val="0"/>
            <w:vAlign w:val="center"/>
          </w:tcPr>
          <w:p w14:paraId="57EAE3A3">
            <w:pPr>
              <w:jc w:val="center"/>
              <w:rPr>
                <w:rFonts w:ascii="宋体" w:hAnsi="宋体" w:eastAsia="宋体" w:cs="宋体"/>
                <w:sz w:val="22"/>
                <w:szCs w:val="22"/>
              </w:rPr>
            </w:pPr>
          </w:p>
        </w:tc>
        <w:tc>
          <w:tcPr>
            <w:tcW w:w="2734" w:type="dxa"/>
            <w:gridSpan w:val="3"/>
            <w:noWrap w:val="0"/>
            <w:vAlign w:val="center"/>
          </w:tcPr>
          <w:p w14:paraId="7209E9C1">
            <w:pPr>
              <w:jc w:val="left"/>
              <w:rPr>
                <w:rFonts w:ascii="Arial"/>
                <w:sz w:val="21"/>
              </w:rPr>
            </w:pPr>
          </w:p>
        </w:tc>
        <w:tc>
          <w:tcPr>
            <w:tcW w:w="1371" w:type="dxa"/>
            <w:noWrap w:val="0"/>
            <w:vAlign w:val="center"/>
          </w:tcPr>
          <w:p w14:paraId="4C3D416A">
            <w:pPr>
              <w:rPr>
                <w:rFonts w:ascii="Arial"/>
                <w:sz w:val="21"/>
              </w:rPr>
            </w:pPr>
          </w:p>
        </w:tc>
        <w:tc>
          <w:tcPr>
            <w:tcW w:w="1318" w:type="dxa"/>
            <w:gridSpan w:val="2"/>
            <w:noWrap w:val="0"/>
            <w:vAlign w:val="center"/>
          </w:tcPr>
          <w:p w14:paraId="5130E946">
            <w:pPr>
              <w:jc w:val="both"/>
              <w:rPr>
                <w:rFonts w:ascii="Arial"/>
                <w:kern w:val="2"/>
                <w:sz w:val="21"/>
                <w:lang w:val="en-US" w:eastAsia="zh-CN" w:bidi="ar-SA"/>
              </w:rPr>
            </w:pPr>
          </w:p>
        </w:tc>
        <w:tc>
          <w:tcPr>
            <w:tcW w:w="884" w:type="dxa"/>
            <w:noWrap w:val="0"/>
            <w:vAlign w:val="center"/>
          </w:tcPr>
          <w:p w14:paraId="5E396D19">
            <w:pPr>
              <w:jc w:val="both"/>
              <w:rPr>
                <w:rFonts w:ascii="Arial"/>
                <w:sz w:val="21"/>
              </w:rPr>
            </w:pPr>
          </w:p>
        </w:tc>
      </w:tr>
      <w:tr w14:paraId="0614B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14" w:type="dxa"/>
            <w:vMerge w:val="continue"/>
            <w:noWrap w:val="0"/>
            <w:vAlign w:val="top"/>
          </w:tcPr>
          <w:p w14:paraId="5287DE8A">
            <w:pPr>
              <w:rPr>
                <w:rFonts w:ascii="Arial"/>
                <w:sz w:val="21"/>
              </w:rPr>
            </w:pPr>
          </w:p>
        </w:tc>
        <w:tc>
          <w:tcPr>
            <w:tcW w:w="689" w:type="dxa"/>
            <w:vMerge w:val="continue"/>
            <w:tcBorders>
              <w:top w:val="nil"/>
              <w:bottom w:val="nil"/>
            </w:tcBorders>
            <w:noWrap w:val="0"/>
            <w:vAlign w:val="center"/>
          </w:tcPr>
          <w:p w14:paraId="125CA809">
            <w:pPr>
              <w:jc w:val="center"/>
              <w:rPr>
                <w:rFonts w:ascii="Calibri" w:hAnsi="Calibri" w:eastAsia="宋体" w:cs="Times New Roman"/>
                <w:b/>
                <w:bCs/>
              </w:rPr>
            </w:pPr>
          </w:p>
        </w:tc>
        <w:tc>
          <w:tcPr>
            <w:tcW w:w="1119" w:type="dxa"/>
            <w:vMerge w:val="restart"/>
            <w:noWrap w:val="0"/>
            <w:vAlign w:val="center"/>
          </w:tcPr>
          <w:p w14:paraId="7889AB15">
            <w:pPr>
              <w:keepNext w:val="0"/>
              <w:keepLines w:val="0"/>
              <w:widowControl/>
              <w:suppressLineNumbers w:val="0"/>
              <w:jc w:val="center"/>
              <w:textAlignment w:val="center"/>
              <w:rPr>
                <w:rFonts w:ascii="宋体" w:hAnsi="宋体" w:eastAsia="宋体" w:cs="宋体"/>
                <w:sz w:val="22"/>
                <w:szCs w:val="22"/>
              </w:rPr>
            </w:pPr>
            <w:r>
              <w:rPr>
                <w:rFonts w:hint="eastAsia" w:ascii="仿宋" w:hAnsi="仿宋" w:eastAsia="仿宋" w:cs="仿宋"/>
                <w:i w:val="0"/>
                <w:iCs w:val="0"/>
                <w:color w:val="000000"/>
                <w:kern w:val="0"/>
                <w:sz w:val="22"/>
                <w:szCs w:val="22"/>
                <w:u w:val="none"/>
                <w:lang w:val="en-US" w:eastAsia="zh-CN" w:bidi="ar"/>
              </w:rPr>
              <w:t>时效指标</w:t>
            </w:r>
          </w:p>
        </w:tc>
        <w:tc>
          <w:tcPr>
            <w:tcW w:w="2734" w:type="dxa"/>
            <w:gridSpan w:val="3"/>
            <w:noWrap w:val="0"/>
            <w:vAlign w:val="center"/>
          </w:tcPr>
          <w:p w14:paraId="3D2BFA7E">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覆盖率</w:t>
            </w:r>
          </w:p>
        </w:tc>
        <w:tc>
          <w:tcPr>
            <w:tcW w:w="1371" w:type="dxa"/>
            <w:noWrap w:val="0"/>
            <w:vAlign w:val="center"/>
          </w:tcPr>
          <w:p w14:paraId="44170352">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47310683">
            <w:pPr>
              <w:keepNext w:val="0"/>
              <w:keepLines w:val="0"/>
              <w:widowControl/>
              <w:suppressLineNumbers w:val="0"/>
              <w:jc w:val="both"/>
              <w:textAlignment w:val="center"/>
              <w:rPr>
                <w:rFonts w:ascii="Arial"/>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0E9B1147">
            <w:pPr>
              <w:jc w:val="both"/>
              <w:rPr>
                <w:rFonts w:ascii="Arial"/>
                <w:sz w:val="21"/>
              </w:rPr>
            </w:pPr>
            <w:r>
              <w:rPr>
                <w:rFonts w:hint="eastAsia" w:ascii="Arial"/>
                <w:sz w:val="21"/>
                <w:lang w:val="en-US" w:eastAsia="zh-CN"/>
              </w:rPr>
              <w:t>10分</w:t>
            </w:r>
          </w:p>
        </w:tc>
      </w:tr>
      <w:tr w14:paraId="09CA5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46A78733">
            <w:pPr>
              <w:rPr>
                <w:rFonts w:ascii="Arial"/>
                <w:sz w:val="21"/>
              </w:rPr>
            </w:pPr>
          </w:p>
        </w:tc>
        <w:tc>
          <w:tcPr>
            <w:tcW w:w="689" w:type="dxa"/>
            <w:vMerge w:val="continue"/>
            <w:tcBorders>
              <w:top w:val="nil"/>
            </w:tcBorders>
            <w:noWrap w:val="0"/>
            <w:vAlign w:val="center"/>
          </w:tcPr>
          <w:p w14:paraId="1EA6D577">
            <w:pPr>
              <w:jc w:val="center"/>
              <w:rPr>
                <w:rFonts w:ascii="Calibri" w:hAnsi="Calibri" w:eastAsia="宋体" w:cs="Times New Roman"/>
                <w:b/>
                <w:bCs/>
              </w:rPr>
            </w:pPr>
          </w:p>
        </w:tc>
        <w:tc>
          <w:tcPr>
            <w:tcW w:w="1119" w:type="dxa"/>
            <w:vMerge w:val="continue"/>
            <w:noWrap w:val="0"/>
            <w:vAlign w:val="center"/>
          </w:tcPr>
          <w:p w14:paraId="4D863459">
            <w:pPr>
              <w:jc w:val="center"/>
              <w:rPr>
                <w:rFonts w:ascii="Arial"/>
                <w:sz w:val="21"/>
              </w:rPr>
            </w:pPr>
          </w:p>
        </w:tc>
        <w:tc>
          <w:tcPr>
            <w:tcW w:w="2734" w:type="dxa"/>
            <w:gridSpan w:val="3"/>
            <w:noWrap w:val="0"/>
            <w:vAlign w:val="center"/>
          </w:tcPr>
          <w:p w14:paraId="40E57375">
            <w:pPr>
              <w:jc w:val="left"/>
              <w:rPr>
                <w:rFonts w:ascii="Arial"/>
                <w:sz w:val="21"/>
              </w:rPr>
            </w:pPr>
          </w:p>
        </w:tc>
        <w:tc>
          <w:tcPr>
            <w:tcW w:w="1371" w:type="dxa"/>
            <w:noWrap w:val="0"/>
            <w:vAlign w:val="center"/>
          </w:tcPr>
          <w:p w14:paraId="637C2964">
            <w:pPr>
              <w:jc w:val="left"/>
              <w:rPr>
                <w:rFonts w:ascii="Arial"/>
                <w:sz w:val="21"/>
              </w:rPr>
            </w:pPr>
          </w:p>
        </w:tc>
        <w:tc>
          <w:tcPr>
            <w:tcW w:w="1318" w:type="dxa"/>
            <w:gridSpan w:val="2"/>
            <w:noWrap w:val="0"/>
            <w:vAlign w:val="center"/>
          </w:tcPr>
          <w:p w14:paraId="55B23414">
            <w:pPr>
              <w:jc w:val="both"/>
              <w:rPr>
                <w:rFonts w:ascii="Arial"/>
                <w:kern w:val="2"/>
                <w:sz w:val="21"/>
                <w:lang w:val="en-US" w:eastAsia="zh-CN" w:bidi="ar-SA"/>
              </w:rPr>
            </w:pPr>
          </w:p>
        </w:tc>
        <w:tc>
          <w:tcPr>
            <w:tcW w:w="884" w:type="dxa"/>
            <w:noWrap w:val="0"/>
            <w:vAlign w:val="center"/>
          </w:tcPr>
          <w:p w14:paraId="34BBDC2B">
            <w:pPr>
              <w:jc w:val="both"/>
              <w:rPr>
                <w:rFonts w:ascii="Arial"/>
                <w:sz w:val="21"/>
              </w:rPr>
            </w:pPr>
          </w:p>
        </w:tc>
      </w:tr>
      <w:tr w14:paraId="782C2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216ED481">
            <w:pPr>
              <w:rPr>
                <w:rFonts w:ascii="Arial"/>
                <w:sz w:val="21"/>
              </w:rPr>
            </w:pPr>
          </w:p>
        </w:tc>
        <w:tc>
          <w:tcPr>
            <w:tcW w:w="689" w:type="dxa"/>
            <w:vMerge w:val="continue"/>
            <w:tcBorders>
              <w:bottom w:val="nil"/>
            </w:tcBorders>
            <w:noWrap w:val="0"/>
            <w:vAlign w:val="center"/>
          </w:tcPr>
          <w:p w14:paraId="16331344">
            <w:pPr>
              <w:jc w:val="center"/>
              <w:rPr>
                <w:rFonts w:ascii="Calibri" w:hAnsi="Calibri" w:eastAsia="宋体" w:cs="Times New Roman"/>
                <w:b/>
                <w:bCs/>
              </w:rPr>
            </w:pPr>
          </w:p>
        </w:tc>
        <w:tc>
          <w:tcPr>
            <w:tcW w:w="1119" w:type="dxa"/>
            <w:vMerge w:val="continue"/>
            <w:noWrap w:val="0"/>
            <w:vAlign w:val="center"/>
          </w:tcPr>
          <w:p w14:paraId="4DAB5C05">
            <w:pPr>
              <w:jc w:val="center"/>
              <w:rPr>
                <w:rFonts w:ascii="宋体" w:hAnsi="宋体" w:eastAsia="宋体" w:cs="宋体"/>
                <w:sz w:val="11"/>
                <w:szCs w:val="11"/>
              </w:rPr>
            </w:pPr>
          </w:p>
        </w:tc>
        <w:tc>
          <w:tcPr>
            <w:tcW w:w="2734" w:type="dxa"/>
            <w:gridSpan w:val="3"/>
            <w:noWrap w:val="0"/>
            <w:vAlign w:val="center"/>
          </w:tcPr>
          <w:p w14:paraId="6844B958">
            <w:pPr>
              <w:jc w:val="left"/>
              <w:rPr>
                <w:rFonts w:ascii="Arial"/>
                <w:sz w:val="21"/>
              </w:rPr>
            </w:pPr>
          </w:p>
        </w:tc>
        <w:tc>
          <w:tcPr>
            <w:tcW w:w="1371" w:type="dxa"/>
            <w:noWrap w:val="0"/>
            <w:vAlign w:val="center"/>
          </w:tcPr>
          <w:p w14:paraId="2985E501">
            <w:pPr>
              <w:jc w:val="left"/>
              <w:rPr>
                <w:rFonts w:ascii="Arial"/>
                <w:sz w:val="21"/>
              </w:rPr>
            </w:pPr>
          </w:p>
        </w:tc>
        <w:tc>
          <w:tcPr>
            <w:tcW w:w="1318" w:type="dxa"/>
            <w:gridSpan w:val="2"/>
            <w:noWrap w:val="0"/>
            <w:vAlign w:val="center"/>
          </w:tcPr>
          <w:p w14:paraId="01701931">
            <w:pPr>
              <w:jc w:val="both"/>
              <w:rPr>
                <w:rFonts w:ascii="Arial"/>
                <w:kern w:val="2"/>
                <w:sz w:val="21"/>
                <w:lang w:val="en-US" w:eastAsia="zh-CN" w:bidi="ar-SA"/>
              </w:rPr>
            </w:pPr>
          </w:p>
        </w:tc>
        <w:tc>
          <w:tcPr>
            <w:tcW w:w="884" w:type="dxa"/>
            <w:noWrap w:val="0"/>
            <w:vAlign w:val="center"/>
          </w:tcPr>
          <w:p w14:paraId="651D014D">
            <w:pPr>
              <w:jc w:val="both"/>
              <w:rPr>
                <w:rFonts w:ascii="Arial"/>
                <w:sz w:val="21"/>
              </w:rPr>
            </w:pPr>
          </w:p>
        </w:tc>
      </w:tr>
      <w:tr w14:paraId="42109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Merge w:val="continue"/>
            <w:noWrap w:val="0"/>
            <w:vAlign w:val="top"/>
          </w:tcPr>
          <w:p w14:paraId="762A83CE">
            <w:pPr>
              <w:rPr>
                <w:rFonts w:ascii="Arial"/>
                <w:sz w:val="21"/>
              </w:rPr>
            </w:pPr>
          </w:p>
        </w:tc>
        <w:tc>
          <w:tcPr>
            <w:tcW w:w="689" w:type="dxa"/>
            <w:vMerge w:val="continue"/>
            <w:tcBorders>
              <w:top w:val="nil"/>
            </w:tcBorders>
            <w:noWrap w:val="0"/>
            <w:vAlign w:val="center"/>
          </w:tcPr>
          <w:p w14:paraId="59AA89C2">
            <w:pPr>
              <w:jc w:val="center"/>
              <w:rPr>
                <w:rFonts w:ascii="Arial"/>
                <w:b/>
                <w:bCs/>
                <w:sz w:val="21"/>
              </w:rPr>
            </w:pPr>
          </w:p>
        </w:tc>
        <w:tc>
          <w:tcPr>
            <w:tcW w:w="1119" w:type="dxa"/>
            <w:vMerge w:val="restart"/>
            <w:noWrap w:val="0"/>
            <w:vAlign w:val="center"/>
          </w:tcPr>
          <w:p w14:paraId="2578900B">
            <w:pPr>
              <w:keepNext w:val="0"/>
              <w:keepLines w:val="0"/>
              <w:widowControl/>
              <w:suppressLineNumbers w:val="0"/>
              <w:jc w:val="center"/>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成本指标</w:t>
            </w:r>
          </w:p>
        </w:tc>
        <w:tc>
          <w:tcPr>
            <w:tcW w:w="2734" w:type="dxa"/>
            <w:gridSpan w:val="3"/>
            <w:noWrap w:val="0"/>
            <w:vAlign w:val="center"/>
          </w:tcPr>
          <w:p w14:paraId="6C7D7119">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控制在36万元以内</w:t>
            </w:r>
          </w:p>
        </w:tc>
        <w:tc>
          <w:tcPr>
            <w:tcW w:w="1371" w:type="dxa"/>
            <w:noWrap w:val="0"/>
            <w:vAlign w:val="center"/>
          </w:tcPr>
          <w:p w14:paraId="08ACE197">
            <w:pPr>
              <w:keepNext w:val="0"/>
              <w:keepLines w:val="0"/>
              <w:widowControl/>
              <w:suppressLineNumbers w:val="0"/>
              <w:jc w:val="left"/>
              <w:textAlignment w:val="center"/>
              <w:rPr>
                <w:rFonts w:ascii="Arial"/>
                <w:sz w:val="21"/>
              </w:rPr>
            </w:pPr>
            <w:r>
              <w:rPr>
                <w:rFonts w:hint="eastAsia" w:ascii="仿宋" w:hAnsi="仿宋" w:eastAsia="仿宋" w:cs="仿宋"/>
                <w:i w:val="0"/>
                <w:iCs w:val="0"/>
                <w:color w:val="000000"/>
                <w:kern w:val="0"/>
                <w:sz w:val="22"/>
                <w:szCs w:val="22"/>
                <w:u w:val="none"/>
                <w:lang w:val="en-US" w:eastAsia="zh-CN" w:bidi="ar"/>
              </w:rPr>
              <w:t>36万元</w:t>
            </w:r>
          </w:p>
        </w:tc>
        <w:tc>
          <w:tcPr>
            <w:tcW w:w="1318" w:type="dxa"/>
            <w:gridSpan w:val="2"/>
            <w:noWrap w:val="0"/>
            <w:vAlign w:val="center"/>
          </w:tcPr>
          <w:p w14:paraId="28DE22A2">
            <w:pPr>
              <w:keepNext w:val="0"/>
              <w:keepLines w:val="0"/>
              <w:widowControl/>
              <w:suppressLineNumbers w:val="0"/>
              <w:jc w:val="both"/>
              <w:textAlignment w:val="center"/>
              <w:rPr>
                <w:rFonts w:ascii="Arial"/>
                <w:color w:val="auto"/>
                <w:kern w:val="2"/>
                <w:sz w:val="21"/>
                <w:lang w:val="en-US" w:eastAsia="zh-CN" w:bidi="ar-SA"/>
              </w:rPr>
            </w:pPr>
            <w:r>
              <w:rPr>
                <w:rFonts w:hint="eastAsia" w:ascii="仿宋" w:hAnsi="仿宋" w:eastAsia="仿宋" w:cs="仿宋"/>
                <w:i w:val="0"/>
                <w:iCs w:val="0"/>
                <w:color w:val="auto"/>
                <w:kern w:val="0"/>
                <w:sz w:val="22"/>
                <w:szCs w:val="22"/>
                <w:u w:val="none"/>
                <w:lang w:val="en-US" w:eastAsia="zh-CN" w:bidi="ar"/>
              </w:rPr>
              <w:t>36万元</w:t>
            </w:r>
          </w:p>
        </w:tc>
        <w:tc>
          <w:tcPr>
            <w:tcW w:w="884" w:type="dxa"/>
            <w:noWrap w:val="0"/>
            <w:vAlign w:val="center"/>
          </w:tcPr>
          <w:p w14:paraId="1B9EB433">
            <w:pPr>
              <w:jc w:val="both"/>
              <w:rPr>
                <w:rFonts w:ascii="Arial"/>
                <w:color w:val="auto"/>
                <w:sz w:val="21"/>
              </w:rPr>
            </w:pPr>
            <w:r>
              <w:rPr>
                <w:rFonts w:hint="eastAsia" w:ascii="Arial"/>
                <w:color w:val="auto"/>
                <w:sz w:val="21"/>
                <w:lang w:val="en-US" w:eastAsia="zh-CN"/>
              </w:rPr>
              <w:t>10分</w:t>
            </w:r>
          </w:p>
        </w:tc>
      </w:tr>
      <w:tr w14:paraId="04609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14" w:type="dxa"/>
            <w:vMerge w:val="continue"/>
            <w:noWrap w:val="0"/>
            <w:vAlign w:val="top"/>
          </w:tcPr>
          <w:p w14:paraId="235C237B">
            <w:pPr>
              <w:spacing w:before="58" w:line="223" w:lineRule="auto"/>
              <w:ind w:right="115"/>
              <w:jc w:val="center"/>
              <w:rPr>
                <w:rFonts w:ascii="宋体" w:hAnsi="宋体" w:eastAsia="宋体" w:cs="宋体"/>
                <w:sz w:val="21"/>
                <w:szCs w:val="21"/>
              </w:rPr>
            </w:pPr>
          </w:p>
        </w:tc>
        <w:tc>
          <w:tcPr>
            <w:tcW w:w="689" w:type="dxa"/>
            <w:vMerge w:val="continue"/>
            <w:noWrap w:val="0"/>
            <w:vAlign w:val="center"/>
          </w:tcPr>
          <w:p w14:paraId="6729797F">
            <w:pPr>
              <w:jc w:val="center"/>
              <w:rPr>
                <w:rFonts w:ascii="Arial"/>
                <w:b/>
                <w:bCs/>
                <w:sz w:val="21"/>
              </w:rPr>
            </w:pPr>
          </w:p>
        </w:tc>
        <w:tc>
          <w:tcPr>
            <w:tcW w:w="1119" w:type="dxa"/>
            <w:vMerge w:val="continue"/>
            <w:noWrap w:val="0"/>
            <w:vAlign w:val="center"/>
          </w:tcPr>
          <w:p w14:paraId="5C586611">
            <w:pPr>
              <w:jc w:val="center"/>
              <w:rPr>
                <w:rFonts w:ascii="Arial"/>
                <w:sz w:val="21"/>
              </w:rPr>
            </w:pPr>
          </w:p>
        </w:tc>
        <w:tc>
          <w:tcPr>
            <w:tcW w:w="2734" w:type="dxa"/>
            <w:gridSpan w:val="3"/>
            <w:noWrap w:val="0"/>
            <w:vAlign w:val="center"/>
          </w:tcPr>
          <w:p w14:paraId="51265A9A">
            <w:pPr>
              <w:jc w:val="left"/>
              <w:rPr>
                <w:rFonts w:ascii="Arial"/>
                <w:sz w:val="21"/>
              </w:rPr>
            </w:pPr>
          </w:p>
        </w:tc>
        <w:tc>
          <w:tcPr>
            <w:tcW w:w="1371" w:type="dxa"/>
            <w:noWrap w:val="0"/>
            <w:vAlign w:val="center"/>
          </w:tcPr>
          <w:p w14:paraId="3E3B8A0F">
            <w:pPr>
              <w:jc w:val="center"/>
              <w:rPr>
                <w:rFonts w:ascii="Arial"/>
                <w:sz w:val="21"/>
              </w:rPr>
            </w:pPr>
          </w:p>
        </w:tc>
        <w:tc>
          <w:tcPr>
            <w:tcW w:w="1318" w:type="dxa"/>
            <w:gridSpan w:val="2"/>
            <w:noWrap w:val="0"/>
            <w:vAlign w:val="center"/>
          </w:tcPr>
          <w:p w14:paraId="7FE758A3">
            <w:pPr>
              <w:jc w:val="both"/>
              <w:rPr>
                <w:rFonts w:ascii="Arial"/>
                <w:kern w:val="2"/>
                <w:sz w:val="21"/>
                <w:lang w:val="en-US" w:eastAsia="zh-CN" w:bidi="ar-SA"/>
              </w:rPr>
            </w:pPr>
          </w:p>
        </w:tc>
        <w:tc>
          <w:tcPr>
            <w:tcW w:w="884" w:type="dxa"/>
            <w:noWrap w:val="0"/>
            <w:vAlign w:val="center"/>
          </w:tcPr>
          <w:p w14:paraId="5F5278CD">
            <w:pPr>
              <w:jc w:val="both"/>
              <w:rPr>
                <w:rFonts w:ascii="Arial"/>
                <w:sz w:val="21"/>
              </w:rPr>
            </w:pPr>
          </w:p>
        </w:tc>
      </w:tr>
      <w:tr w14:paraId="3B55A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14" w:type="dxa"/>
            <w:vMerge w:val="continue"/>
            <w:noWrap w:val="0"/>
            <w:vAlign w:val="top"/>
          </w:tcPr>
          <w:p w14:paraId="43A8FF73">
            <w:pPr>
              <w:spacing w:before="181" w:line="339" w:lineRule="exact"/>
              <w:ind w:left="175"/>
              <w:rPr>
                <w:rFonts w:ascii="宋体" w:hAnsi="宋体" w:eastAsia="宋体" w:cs="宋体"/>
                <w:sz w:val="22"/>
                <w:szCs w:val="22"/>
              </w:rPr>
            </w:pPr>
          </w:p>
        </w:tc>
        <w:tc>
          <w:tcPr>
            <w:tcW w:w="689" w:type="dxa"/>
            <w:vMerge w:val="continue"/>
            <w:noWrap w:val="0"/>
            <w:vAlign w:val="center"/>
          </w:tcPr>
          <w:p w14:paraId="5D692D6D">
            <w:pPr>
              <w:jc w:val="center"/>
              <w:rPr>
                <w:rFonts w:ascii="Arial"/>
                <w:b/>
                <w:bCs/>
                <w:sz w:val="21"/>
              </w:rPr>
            </w:pPr>
          </w:p>
        </w:tc>
        <w:tc>
          <w:tcPr>
            <w:tcW w:w="1119" w:type="dxa"/>
            <w:vMerge w:val="continue"/>
            <w:noWrap w:val="0"/>
            <w:vAlign w:val="center"/>
          </w:tcPr>
          <w:p w14:paraId="676F9823">
            <w:pPr>
              <w:jc w:val="center"/>
              <w:rPr>
                <w:rFonts w:ascii="Arial"/>
                <w:sz w:val="21"/>
              </w:rPr>
            </w:pPr>
          </w:p>
        </w:tc>
        <w:tc>
          <w:tcPr>
            <w:tcW w:w="2734" w:type="dxa"/>
            <w:gridSpan w:val="3"/>
            <w:noWrap w:val="0"/>
            <w:vAlign w:val="center"/>
          </w:tcPr>
          <w:p w14:paraId="63F193FD">
            <w:pPr>
              <w:jc w:val="left"/>
              <w:rPr>
                <w:rFonts w:ascii="Arial"/>
                <w:sz w:val="21"/>
              </w:rPr>
            </w:pPr>
          </w:p>
        </w:tc>
        <w:tc>
          <w:tcPr>
            <w:tcW w:w="1371" w:type="dxa"/>
            <w:noWrap w:val="0"/>
            <w:vAlign w:val="center"/>
          </w:tcPr>
          <w:p w14:paraId="20EA0289">
            <w:pPr>
              <w:jc w:val="center"/>
              <w:rPr>
                <w:rFonts w:ascii="Arial"/>
                <w:sz w:val="21"/>
              </w:rPr>
            </w:pPr>
          </w:p>
        </w:tc>
        <w:tc>
          <w:tcPr>
            <w:tcW w:w="1318" w:type="dxa"/>
            <w:gridSpan w:val="2"/>
            <w:noWrap w:val="0"/>
            <w:vAlign w:val="center"/>
          </w:tcPr>
          <w:p w14:paraId="0D894F9D">
            <w:pPr>
              <w:jc w:val="both"/>
              <w:rPr>
                <w:rFonts w:ascii="Arial"/>
                <w:kern w:val="2"/>
                <w:sz w:val="21"/>
                <w:lang w:val="en-US" w:eastAsia="zh-CN" w:bidi="ar-SA"/>
              </w:rPr>
            </w:pPr>
          </w:p>
        </w:tc>
        <w:tc>
          <w:tcPr>
            <w:tcW w:w="884" w:type="dxa"/>
            <w:noWrap w:val="0"/>
            <w:vAlign w:val="center"/>
          </w:tcPr>
          <w:p w14:paraId="4DD61DEA">
            <w:pPr>
              <w:jc w:val="both"/>
              <w:rPr>
                <w:rFonts w:ascii="Arial"/>
                <w:sz w:val="21"/>
              </w:rPr>
            </w:pPr>
          </w:p>
        </w:tc>
      </w:tr>
      <w:tr w14:paraId="784DA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0D78427B">
            <w:pPr>
              <w:spacing w:before="159" w:line="220" w:lineRule="auto"/>
              <w:ind w:left="175"/>
              <w:rPr>
                <w:rFonts w:ascii="宋体" w:hAnsi="宋体" w:eastAsia="宋体" w:cs="宋体"/>
                <w:sz w:val="22"/>
                <w:szCs w:val="22"/>
              </w:rPr>
            </w:pPr>
          </w:p>
        </w:tc>
        <w:tc>
          <w:tcPr>
            <w:tcW w:w="689" w:type="dxa"/>
            <w:vMerge w:val="restart"/>
            <w:noWrap w:val="0"/>
            <w:vAlign w:val="center"/>
          </w:tcPr>
          <w:p w14:paraId="7845155C">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7C6DD480">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4B2F0573">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p>
          <w:p w14:paraId="159D6925">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效</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益</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指</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标</w:t>
            </w:r>
          </w:p>
          <w:p w14:paraId="61C9A58D">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（30分）</w:t>
            </w:r>
          </w:p>
        </w:tc>
        <w:tc>
          <w:tcPr>
            <w:tcW w:w="1119" w:type="dxa"/>
            <w:vMerge w:val="restart"/>
            <w:noWrap w:val="0"/>
            <w:vAlign w:val="center"/>
          </w:tcPr>
          <w:p w14:paraId="488C6F72">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经济效益指标</w:t>
            </w:r>
          </w:p>
        </w:tc>
        <w:tc>
          <w:tcPr>
            <w:tcW w:w="2734" w:type="dxa"/>
            <w:gridSpan w:val="3"/>
            <w:noWrap w:val="0"/>
            <w:vAlign w:val="center"/>
          </w:tcPr>
          <w:p w14:paraId="25754E47">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为GDP核算提供依据</w:t>
            </w:r>
          </w:p>
        </w:tc>
        <w:tc>
          <w:tcPr>
            <w:tcW w:w="1371" w:type="dxa"/>
            <w:noWrap w:val="0"/>
            <w:vAlign w:val="center"/>
          </w:tcPr>
          <w:p w14:paraId="5CEA6677">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615C35F8">
            <w:pPr>
              <w:keepNext w:val="0"/>
              <w:keepLines w:val="0"/>
              <w:widowControl/>
              <w:suppressLineNumbers w:val="0"/>
              <w:jc w:val="both"/>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59D9D1E3">
            <w:pPr>
              <w:keepNext w:val="0"/>
              <w:keepLines w:val="0"/>
              <w:widowControl/>
              <w:suppressLineNumbers w:val="0"/>
              <w:jc w:val="both"/>
              <w:textAlignment w:val="center"/>
            </w:pPr>
            <w:r>
              <w:rPr>
                <w:rFonts w:hint="eastAsia" w:ascii="Arial"/>
                <w:sz w:val="21"/>
                <w:lang w:val="en-US" w:eastAsia="zh-CN"/>
              </w:rPr>
              <w:t>9分</w:t>
            </w:r>
          </w:p>
        </w:tc>
      </w:tr>
      <w:tr w14:paraId="364C3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099D0F7B">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2F2FED5C">
            <w:pPr>
              <w:jc w:val="center"/>
              <w:rPr>
                <w:rFonts w:ascii="Arial"/>
                <w:b/>
                <w:bCs/>
                <w:sz w:val="21"/>
              </w:rPr>
            </w:pPr>
          </w:p>
        </w:tc>
        <w:tc>
          <w:tcPr>
            <w:tcW w:w="1119" w:type="dxa"/>
            <w:vMerge w:val="continue"/>
            <w:noWrap w:val="0"/>
            <w:vAlign w:val="center"/>
          </w:tcPr>
          <w:p w14:paraId="0FF349DB">
            <w:pPr>
              <w:jc w:val="center"/>
            </w:pPr>
          </w:p>
        </w:tc>
        <w:tc>
          <w:tcPr>
            <w:tcW w:w="2734" w:type="dxa"/>
            <w:gridSpan w:val="3"/>
            <w:noWrap w:val="0"/>
            <w:vAlign w:val="center"/>
          </w:tcPr>
          <w:p w14:paraId="076D01AB">
            <w:pPr>
              <w:jc w:val="center"/>
            </w:pPr>
          </w:p>
        </w:tc>
        <w:tc>
          <w:tcPr>
            <w:tcW w:w="1371" w:type="dxa"/>
            <w:noWrap w:val="0"/>
            <w:vAlign w:val="center"/>
          </w:tcPr>
          <w:p w14:paraId="41D4BE0B">
            <w:pPr>
              <w:jc w:val="left"/>
            </w:pPr>
          </w:p>
        </w:tc>
        <w:tc>
          <w:tcPr>
            <w:tcW w:w="1318" w:type="dxa"/>
            <w:gridSpan w:val="2"/>
            <w:noWrap w:val="0"/>
            <w:vAlign w:val="center"/>
          </w:tcPr>
          <w:p w14:paraId="363D0DD8">
            <w:pPr>
              <w:jc w:val="both"/>
              <w:rPr>
                <w:kern w:val="2"/>
                <w:sz w:val="21"/>
                <w:lang w:val="en-US" w:eastAsia="zh-CN" w:bidi="ar-SA"/>
              </w:rPr>
            </w:pPr>
          </w:p>
        </w:tc>
        <w:tc>
          <w:tcPr>
            <w:tcW w:w="884" w:type="dxa"/>
            <w:noWrap w:val="0"/>
            <w:vAlign w:val="center"/>
          </w:tcPr>
          <w:p w14:paraId="3330BDF4">
            <w:pPr>
              <w:jc w:val="both"/>
            </w:pPr>
          </w:p>
        </w:tc>
      </w:tr>
      <w:tr w14:paraId="25ABD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2CBA5EFE">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1783A713">
            <w:pPr>
              <w:jc w:val="center"/>
              <w:rPr>
                <w:rFonts w:ascii="Arial"/>
                <w:b/>
                <w:bCs/>
                <w:sz w:val="21"/>
              </w:rPr>
            </w:pPr>
          </w:p>
        </w:tc>
        <w:tc>
          <w:tcPr>
            <w:tcW w:w="1119" w:type="dxa"/>
            <w:vMerge w:val="restart"/>
            <w:noWrap w:val="0"/>
            <w:vAlign w:val="center"/>
          </w:tcPr>
          <w:p w14:paraId="5AB0086E">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社会效益指标</w:t>
            </w:r>
          </w:p>
        </w:tc>
        <w:tc>
          <w:tcPr>
            <w:tcW w:w="2734" w:type="dxa"/>
            <w:gridSpan w:val="3"/>
            <w:noWrap w:val="0"/>
            <w:vAlign w:val="center"/>
          </w:tcPr>
          <w:p w14:paraId="261D9A7F">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检验统计数据公信力</w:t>
            </w:r>
          </w:p>
        </w:tc>
        <w:tc>
          <w:tcPr>
            <w:tcW w:w="1371" w:type="dxa"/>
            <w:noWrap w:val="0"/>
            <w:vAlign w:val="center"/>
          </w:tcPr>
          <w:p w14:paraId="37B20820">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375DB6A2">
            <w:pPr>
              <w:keepNext w:val="0"/>
              <w:keepLines w:val="0"/>
              <w:widowControl/>
              <w:suppressLineNumbers w:val="0"/>
              <w:jc w:val="both"/>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7C3DFCE0">
            <w:pPr>
              <w:keepNext w:val="0"/>
              <w:keepLines w:val="0"/>
              <w:widowControl/>
              <w:suppressLineNumbers w:val="0"/>
              <w:jc w:val="both"/>
              <w:textAlignment w:val="center"/>
            </w:pPr>
            <w:r>
              <w:rPr>
                <w:rFonts w:hint="eastAsia" w:ascii="Arial"/>
                <w:sz w:val="21"/>
                <w:lang w:val="en-US" w:eastAsia="zh-CN"/>
              </w:rPr>
              <w:t>10分</w:t>
            </w:r>
          </w:p>
        </w:tc>
      </w:tr>
      <w:tr w14:paraId="75CD1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81AC055">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144CC206">
            <w:pPr>
              <w:jc w:val="center"/>
              <w:rPr>
                <w:rFonts w:ascii="Arial"/>
                <w:b/>
                <w:bCs/>
                <w:sz w:val="21"/>
              </w:rPr>
            </w:pPr>
          </w:p>
        </w:tc>
        <w:tc>
          <w:tcPr>
            <w:tcW w:w="1119" w:type="dxa"/>
            <w:vMerge w:val="continue"/>
            <w:noWrap w:val="0"/>
            <w:vAlign w:val="center"/>
          </w:tcPr>
          <w:p w14:paraId="4156B9F4">
            <w:pPr>
              <w:jc w:val="center"/>
            </w:pPr>
          </w:p>
        </w:tc>
        <w:tc>
          <w:tcPr>
            <w:tcW w:w="2734" w:type="dxa"/>
            <w:gridSpan w:val="3"/>
            <w:noWrap w:val="0"/>
            <w:vAlign w:val="center"/>
          </w:tcPr>
          <w:p w14:paraId="0DB66C43">
            <w:pPr>
              <w:jc w:val="left"/>
            </w:pPr>
          </w:p>
        </w:tc>
        <w:tc>
          <w:tcPr>
            <w:tcW w:w="1371" w:type="dxa"/>
            <w:noWrap w:val="0"/>
            <w:vAlign w:val="center"/>
          </w:tcPr>
          <w:p w14:paraId="78BE3457"/>
        </w:tc>
        <w:tc>
          <w:tcPr>
            <w:tcW w:w="1318" w:type="dxa"/>
            <w:gridSpan w:val="2"/>
            <w:noWrap w:val="0"/>
            <w:vAlign w:val="center"/>
          </w:tcPr>
          <w:p w14:paraId="6CFED4DB">
            <w:pPr>
              <w:jc w:val="both"/>
              <w:rPr>
                <w:kern w:val="2"/>
                <w:sz w:val="21"/>
                <w:lang w:val="en-US" w:eastAsia="zh-CN" w:bidi="ar-SA"/>
              </w:rPr>
            </w:pPr>
          </w:p>
        </w:tc>
        <w:tc>
          <w:tcPr>
            <w:tcW w:w="884" w:type="dxa"/>
            <w:noWrap w:val="0"/>
            <w:vAlign w:val="center"/>
          </w:tcPr>
          <w:p w14:paraId="5C56F169">
            <w:pPr>
              <w:jc w:val="both"/>
            </w:pPr>
          </w:p>
        </w:tc>
      </w:tr>
      <w:tr w14:paraId="18841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00DB724A">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7054B1C3">
            <w:pPr>
              <w:jc w:val="center"/>
              <w:rPr>
                <w:rFonts w:ascii="Arial"/>
                <w:b/>
                <w:bCs/>
                <w:sz w:val="21"/>
              </w:rPr>
            </w:pPr>
          </w:p>
        </w:tc>
        <w:tc>
          <w:tcPr>
            <w:tcW w:w="1119" w:type="dxa"/>
            <w:vMerge w:val="restart"/>
            <w:noWrap w:val="0"/>
            <w:vAlign w:val="center"/>
          </w:tcPr>
          <w:p w14:paraId="6A2AD5D6">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环境效益指标</w:t>
            </w:r>
          </w:p>
        </w:tc>
        <w:tc>
          <w:tcPr>
            <w:tcW w:w="2734" w:type="dxa"/>
            <w:gridSpan w:val="3"/>
            <w:noWrap w:val="0"/>
            <w:vAlign w:val="center"/>
          </w:tcPr>
          <w:p w14:paraId="189DF09C">
            <w:pPr>
              <w:jc w:val="left"/>
            </w:pPr>
          </w:p>
        </w:tc>
        <w:tc>
          <w:tcPr>
            <w:tcW w:w="1371" w:type="dxa"/>
            <w:noWrap w:val="0"/>
            <w:vAlign w:val="center"/>
          </w:tcPr>
          <w:p w14:paraId="5D511D02"/>
        </w:tc>
        <w:tc>
          <w:tcPr>
            <w:tcW w:w="1318" w:type="dxa"/>
            <w:gridSpan w:val="2"/>
            <w:noWrap w:val="0"/>
            <w:vAlign w:val="center"/>
          </w:tcPr>
          <w:p w14:paraId="32A0DCE4">
            <w:pPr>
              <w:jc w:val="both"/>
              <w:rPr>
                <w:kern w:val="2"/>
                <w:sz w:val="21"/>
                <w:lang w:val="en-US" w:eastAsia="zh-CN" w:bidi="ar-SA"/>
              </w:rPr>
            </w:pPr>
          </w:p>
        </w:tc>
        <w:tc>
          <w:tcPr>
            <w:tcW w:w="884" w:type="dxa"/>
            <w:noWrap w:val="0"/>
            <w:vAlign w:val="center"/>
          </w:tcPr>
          <w:p w14:paraId="32FFD1BD">
            <w:pPr>
              <w:keepNext w:val="0"/>
              <w:keepLines w:val="0"/>
              <w:widowControl/>
              <w:suppressLineNumbers w:val="0"/>
              <w:jc w:val="both"/>
              <w:textAlignment w:val="center"/>
            </w:pPr>
          </w:p>
        </w:tc>
      </w:tr>
      <w:tr w14:paraId="7CEF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88A1240">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7A135BED">
            <w:pPr>
              <w:jc w:val="center"/>
              <w:rPr>
                <w:rFonts w:ascii="Arial"/>
                <w:b/>
                <w:bCs/>
                <w:sz w:val="21"/>
              </w:rPr>
            </w:pPr>
          </w:p>
        </w:tc>
        <w:tc>
          <w:tcPr>
            <w:tcW w:w="1119" w:type="dxa"/>
            <w:vMerge w:val="continue"/>
            <w:noWrap w:val="0"/>
            <w:vAlign w:val="center"/>
          </w:tcPr>
          <w:p w14:paraId="7F7F1409">
            <w:pPr>
              <w:jc w:val="center"/>
            </w:pPr>
          </w:p>
        </w:tc>
        <w:tc>
          <w:tcPr>
            <w:tcW w:w="2734" w:type="dxa"/>
            <w:gridSpan w:val="3"/>
            <w:noWrap w:val="0"/>
            <w:vAlign w:val="center"/>
          </w:tcPr>
          <w:p w14:paraId="22E41A5C">
            <w:pPr>
              <w:jc w:val="left"/>
            </w:pPr>
          </w:p>
        </w:tc>
        <w:tc>
          <w:tcPr>
            <w:tcW w:w="1371" w:type="dxa"/>
            <w:noWrap w:val="0"/>
            <w:vAlign w:val="center"/>
          </w:tcPr>
          <w:p w14:paraId="1AE9898E"/>
        </w:tc>
        <w:tc>
          <w:tcPr>
            <w:tcW w:w="1318" w:type="dxa"/>
            <w:gridSpan w:val="2"/>
            <w:noWrap w:val="0"/>
            <w:vAlign w:val="center"/>
          </w:tcPr>
          <w:p w14:paraId="0E4CE25D">
            <w:pPr>
              <w:jc w:val="both"/>
              <w:rPr>
                <w:kern w:val="2"/>
                <w:sz w:val="21"/>
                <w:lang w:val="en-US" w:eastAsia="zh-CN" w:bidi="ar-SA"/>
              </w:rPr>
            </w:pPr>
          </w:p>
        </w:tc>
        <w:tc>
          <w:tcPr>
            <w:tcW w:w="884" w:type="dxa"/>
            <w:noWrap w:val="0"/>
            <w:vAlign w:val="center"/>
          </w:tcPr>
          <w:p w14:paraId="2BB3C470">
            <w:pPr>
              <w:jc w:val="both"/>
            </w:pPr>
          </w:p>
        </w:tc>
      </w:tr>
      <w:tr w14:paraId="54D0D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59881C1">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210D28E6">
            <w:pPr>
              <w:jc w:val="center"/>
              <w:rPr>
                <w:rFonts w:ascii="Arial"/>
                <w:b/>
                <w:bCs/>
                <w:sz w:val="21"/>
              </w:rPr>
            </w:pPr>
          </w:p>
        </w:tc>
        <w:tc>
          <w:tcPr>
            <w:tcW w:w="1119" w:type="dxa"/>
            <w:vMerge w:val="restart"/>
            <w:noWrap w:val="0"/>
            <w:vAlign w:val="center"/>
          </w:tcPr>
          <w:p w14:paraId="79137303">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可持续影响指标</w:t>
            </w:r>
          </w:p>
        </w:tc>
        <w:tc>
          <w:tcPr>
            <w:tcW w:w="2734" w:type="dxa"/>
            <w:gridSpan w:val="3"/>
            <w:noWrap w:val="0"/>
            <w:vAlign w:val="center"/>
          </w:tcPr>
          <w:p w14:paraId="20C27133">
            <w:pPr>
              <w:jc w:val="left"/>
            </w:pPr>
            <w:r>
              <w:rPr>
                <w:rFonts w:hint="eastAsia" w:ascii="仿宋" w:hAnsi="仿宋" w:eastAsia="仿宋" w:cs="仿宋"/>
                <w:i w:val="0"/>
                <w:iCs w:val="0"/>
                <w:color w:val="000000"/>
                <w:kern w:val="0"/>
                <w:sz w:val="22"/>
                <w:szCs w:val="22"/>
                <w:u w:val="none"/>
                <w:lang w:val="en-US" w:eastAsia="zh-CN" w:bidi="ar"/>
              </w:rPr>
              <w:t>为区委区政府提供经济数据</w:t>
            </w:r>
          </w:p>
        </w:tc>
        <w:tc>
          <w:tcPr>
            <w:tcW w:w="1371" w:type="dxa"/>
            <w:noWrap w:val="0"/>
            <w:vAlign w:val="center"/>
          </w:tcPr>
          <w:p w14:paraId="2D614AC5">
            <w:r>
              <w:rPr>
                <w:rFonts w:hint="eastAsia"/>
              </w:rPr>
              <w:t>100%</w:t>
            </w:r>
          </w:p>
        </w:tc>
        <w:tc>
          <w:tcPr>
            <w:tcW w:w="1318" w:type="dxa"/>
            <w:gridSpan w:val="2"/>
            <w:noWrap w:val="0"/>
            <w:vAlign w:val="center"/>
          </w:tcPr>
          <w:p w14:paraId="408C6A39">
            <w:pPr>
              <w:jc w:val="both"/>
              <w:rPr>
                <w:kern w:val="2"/>
                <w:sz w:val="21"/>
                <w:lang w:val="en-US" w:eastAsia="zh-CN" w:bidi="ar-SA"/>
              </w:rPr>
            </w:pPr>
            <w:r>
              <w:rPr>
                <w:rFonts w:hint="eastAsia"/>
                <w:kern w:val="2"/>
                <w:sz w:val="21"/>
                <w:lang w:val="en-US" w:eastAsia="zh-CN" w:bidi="ar-SA"/>
              </w:rPr>
              <w:t>100%</w:t>
            </w:r>
          </w:p>
        </w:tc>
        <w:tc>
          <w:tcPr>
            <w:tcW w:w="884" w:type="dxa"/>
            <w:noWrap w:val="0"/>
            <w:vAlign w:val="center"/>
          </w:tcPr>
          <w:p w14:paraId="01129B27">
            <w:pPr>
              <w:keepNext w:val="0"/>
              <w:keepLines w:val="0"/>
              <w:widowControl/>
              <w:suppressLineNumbers w:val="0"/>
              <w:jc w:val="both"/>
              <w:textAlignment w:val="center"/>
            </w:pPr>
            <w:r>
              <w:rPr>
                <w:rFonts w:hint="eastAsia" w:ascii="Arial"/>
                <w:sz w:val="21"/>
                <w:lang w:val="en-US" w:eastAsia="zh-CN"/>
              </w:rPr>
              <w:t>9分</w:t>
            </w:r>
          </w:p>
        </w:tc>
      </w:tr>
      <w:tr w14:paraId="2D745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4A513BCA">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561F72DD">
            <w:pPr>
              <w:jc w:val="center"/>
              <w:rPr>
                <w:rFonts w:ascii="Arial"/>
                <w:b/>
                <w:bCs/>
                <w:sz w:val="21"/>
              </w:rPr>
            </w:pPr>
          </w:p>
        </w:tc>
        <w:tc>
          <w:tcPr>
            <w:tcW w:w="1119" w:type="dxa"/>
            <w:vMerge w:val="continue"/>
            <w:noWrap w:val="0"/>
            <w:vAlign w:val="center"/>
          </w:tcPr>
          <w:p w14:paraId="7DE3B9A2">
            <w:pPr>
              <w:jc w:val="center"/>
            </w:pPr>
          </w:p>
        </w:tc>
        <w:tc>
          <w:tcPr>
            <w:tcW w:w="2734" w:type="dxa"/>
            <w:gridSpan w:val="3"/>
            <w:noWrap w:val="0"/>
            <w:vAlign w:val="center"/>
          </w:tcPr>
          <w:p w14:paraId="745BB75E">
            <w:pPr>
              <w:jc w:val="left"/>
            </w:pPr>
          </w:p>
        </w:tc>
        <w:tc>
          <w:tcPr>
            <w:tcW w:w="1371" w:type="dxa"/>
            <w:noWrap w:val="0"/>
            <w:vAlign w:val="center"/>
          </w:tcPr>
          <w:p w14:paraId="02C87C1C"/>
        </w:tc>
        <w:tc>
          <w:tcPr>
            <w:tcW w:w="1318" w:type="dxa"/>
            <w:gridSpan w:val="2"/>
            <w:noWrap w:val="0"/>
            <w:vAlign w:val="center"/>
          </w:tcPr>
          <w:p w14:paraId="7B84F8EA">
            <w:pPr>
              <w:jc w:val="both"/>
              <w:rPr>
                <w:kern w:val="2"/>
                <w:sz w:val="21"/>
                <w:lang w:val="en-US" w:eastAsia="zh-CN" w:bidi="ar-SA"/>
              </w:rPr>
            </w:pPr>
          </w:p>
        </w:tc>
        <w:tc>
          <w:tcPr>
            <w:tcW w:w="884" w:type="dxa"/>
            <w:noWrap w:val="0"/>
            <w:vAlign w:val="center"/>
          </w:tcPr>
          <w:p w14:paraId="2A3FBB22">
            <w:pPr>
              <w:jc w:val="both"/>
            </w:pPr>
          </w:p>
        </w:tc>
      </w:tr>
      <w:tr w14:paraId="75322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70E93EF9">
            <w:pPr>
              <w:spacing w:before="159" w:line="220" w:lineRule="auto"/>
              <w:ind w:left="175"/>
              <w:rPr>
                <w:rFonts w:ascii="宋体" w:hAnsi="宋体" w:eastAsia="宋体" w:cs="宋体"/>
                <w:b/>
                <w:bCs/>
                <w:spacing w:val="4"/>
                <w:sz w:val="22"/>
                <w:szCs w:val="22"/>
              </w:rPr>
            </w:pPr>
          </w:p>
        </w:tc>
        <w:tc>
          <w:tcPr>
            <w:tcW w:w="689" w:type="dxa"/>
            <w:vMerge w:val="continue"/>
            <w:noWrap w:val="0"/>
            <w:vAlign w:val="center"/>
          </w:tcPr>
          <w:p w14:paraId="2A00E42B">
            <w:pPr>
              <w:jc w:val="center"/>
              <w:rPr>
                <w:rFonts w:ascii="Arial"/>
                <w:b/>
                <w:bCs/>
                <w:sz w:val="21"/>
              </w:rPr>
            </w:pPr>
          </w:p>
        </w:tc>
        <w:tc>
          <w:tcPr>
            <w:tcW w:w="1119" w:type="dxa"/>
            <w:vMerge w:val="continue"/>
            <w:noWrap w:val="0"/>
            <w:vAlign w:val="center"/>
          </w:tcPr>
          <w:p w14:paraId="69C09265">
            <w:pPr>
              <w:jc w:val="center"/>
            </w:pPr>
          </w:p>
        </w:tc>
        <w:tc>
          <w:tcPr>
            <w:tcW w:w="2734" w:type="dxa"/>
            <w:gridSpan w:val="3"/>
            <w:noWrap w:val="0"/>
            <w:vAlign w:val="center"/>
          </w:tcPr>
          <w:p w14:paraId="7D337D6C">
            <w:pPr>
              <w:jc w:val="left"/>
            </w:pPr>
          </w:p>
        </w:tc>
        <w:tc>
          <w:tcPr>
            <w:tcW w:w="1371" w:type="dxa"/>
            <w:noWrap w:val="0"/>
            <w:vAlign w:val="center"/>
          </w:tcPr>
          <w:p w14:paraId="58017DAC"/>
        </w:tc>
        <w:tc>
          <w:tcPr>
            <w:tcW w:w="1318" w:type="dxa"/>
            <w:gridSpan w:val="2"/>
            <w:noWrap w:val="0"/>
            <w:vAlign w:val="center"/>
          </w:tcPr>
          <w:p w14:paraId="4371C898">
            <w:pPr>
              <w:jc w:val="both"/>
              <w:rPr>
                <w:kern w:val="2"/>
                <w:sz w:val="21"/>
                <w:lang w:val="en-US" w:eastAsia="zh-CN" w:bidi="ar-SA"/>
              </w:rPr>
            </w:pPr>
          </w:p>
        </w:tc>
        <w:tc>
          <w:tcPr>
            <w:tcW w:w="884" w:type="dxa"/>
            <w:noWrap w:val="0"/>
            <w:vAlign w:val="center"/>
          </w:tcPr>
          <w:p w14:paraId="0B508791">
            <w:pPr>
              <w:jc w:val="both"/>
            </w:pPr>
          </w:p>
        </w:tc>
      </w:tr>
      <w:tr w14:paraId="402CC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vMerge w:val="continue"/>
            <w:noWrap w:val="0"/>
            <w:vAlign w:val="top"/>
          </w:tcPr>
          <w:p w14:paraId="63D0DF5A">
            <w:pPr>
              <w:spacing w:before="159" w:line="220" w:lineRule="auto"/>
              <w:ind w:left="175"/>
              <w:rPr>
                <w:rFonts w:ascii="宋体" w:hAnsi="宋体" w:eastAsia="宋体" w:cs="宋体"/>
                <w:b/>
                <w:bCs/>
                <w:spacing w:val="4"/>
                <w:sz w:val="22"/>
                <w:szCs w:val="22"/>
              </w:rPr>
            </w:pPr>
          </w:p>
        </w:tc>
        <w:tc>
          <w:tcPr>
            <w:tcW w:w="689" w:type="dxa"/>
            <w:noWrap w:val="0"/>
            <w:vAlign w:val="center"/>
          </w:tcPr>
          <w:p w14:paraId="2B7BFA15">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服务对象满意度指标（10分）</w:t>
            </w:r>
          </w:p>
        </w:tc>
        <w:tc>
          <w:tcPr>
            <w:tcW w:w="1119" w:type="dxa"/>
            <w:noWrap w:val="0"/>
            <w:vAlign w:val="center"/>
          </w:tcPr>
          <w:p w14:paraId="5B29EA1B">
            <w:pPr>
              <w:keepNext w:val="0"/>
              <w:keepLines w:val="0"/>
              <w:widowControl/>
              <w:suppressLineNumbers w:val="0"/>
              <w:jc w:val="center"/>
              <w:textAlignment w:val="center"/>
            </w:pPr>
            <w:r>
              <w:rPr>
                <w:rFonts w:hint="eastAsia" w:ascii="仿宋" w:hAnsi="仿宋" w:eastAsia="仿宋" w:cs="仿宋"/>
                <w:i w:val="0"/>
                <w:iCs w:val="0"/>
                <w:color w:val="000000"/>
                <w:kern w:val="0"/>
                <w:sz w:val="22"/>
                <w:szCs w:val="22"/>
                <w:u w:val="none"/>
                <w:lang w:val="en-US" w:eastAsia="zh-CN" w:bidi="ar"/>
              </w:rPr>
              <w:t>具体指标</w:t>
            </w:r>
          </w:p>
        </w:tc>
        <w:tc>
          <w:tcPr>
            <w:tcW w:w="2734" w:type="dxa"/>
            <w:gridSpan w:val="3"/>
            <w:noWrap w:val="0"/>
            <w:vAlign w:val="center"/>
          </w:tcPr>
          <w:p w14:paraId="34D763BD">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群众满意率</w:t>
            </w:r>
          </w:p>
        </w:tc>
        <w:tc>
          <w:tcPr>
            <w:tcW w:w="1371" w:type="dxa"/>
            <w:noWrap w:val="0"/>
            <w:vAlign w:val="center"/>
          </w:tcPr>
          <w:p w14:paraId="3057E06E">
            <w:pPr>
              <w:keepNext w:val="0"/>
              <w:keepLines w:val="0"/>
              <w:widowControl/>
              <w:suppressLineNumbers w:val="0"/>
              <w:jc w:val="left"/>
              <w:textAlignment w:val="center"/>
            </w:pPr>
            <w:r>
              <w:rPr>
                <w:rFonts w:hint="eastAsia" w:ascii="仿宋" w:hAnsi="仿宋" w:eastAsia="仿宋" w:cs="仿宋"/>
                <w:i w:val="0"/>
                <w:iCs w:val="0"/>
                <w:color w:val="000000"/>
                <w:kern w:val="0"/>
                <w:sz w:val="22"/>
                <w:szCs w:val="22"/>
                <w:u w:val="none"/>
                <w:lang w:val="en-US" w:eastAsia="zh-CN" w:bidi="ar"/>
              </w:rPr>
              <w:t>100%</w:t>
            </w:r>
          </w:p>
        </w:tc>
        <w:tc>
          <w:tcPr>
            <w:tcW w:w="1318" w:type="dxa"/>
            <w:gridSpan w:val="2"/>
            <w:noWrap w:val="0"/>
            <w:vAlign w:val="center"/>
          </w:tcPr>
          <w:p w14:paraId="0E647B79">
            <w:pPr>
              <w:keepNext w:val="0"/>
              <w:keepLines w:val="0"/>
              <w:widowControl/>
              <w:suppressLineNumbers w:val="0"/>
              <w:jc w:val="both"/>
              <w:textAlignment w:val="center"/>
              <w:rPr>
                <w:kern w:val="2"/>
                <w:sz w:val="21"/>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84" w:type="dxa"/>
            <w:noWrap w:val="0"/>
            <w:vAlign w:val="center"/>
          </w:tcPr>
          <w:p w14:paraId="0860DF52">
            <w:pPr>
              <w:keepNext w:val="0"/>
              <w:keepLines w:val="0"/>
              <w:widowControl/>
              <w:suppressLineNumbers w:val="0"/>
              <w:jc w:val="both"/>
              <w:textAlignment w:val="center"/>
            </w:pPr>
            <w:r>
              <w:rPr>
                <w:rFonts w:hint="eastAsia" w:ascii="Arial"/>
                <w:sz w:val="21"/>
                <w:lang w:val="en-US" w:eastAsia="zh-CN"/>
              </w:rPr>
              <w:t>9分</w:t>
            </w:r>
          </w:p>
        </w:tc>
      </w:tr>
      <w:tr w14:paraId="441DB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0551F18F">
            <w:pPr>
              <w:spacing w:before="159" w:line="220" w:lineRule="auto"/>
              <w:ind w:left="175" w:leftChars="0"/>
              <w:rPr>
                <w:rFonts w:ascii="宋体" w:hAnsi="宋体" w:eastAsia="宋体" w:cs="宋体"/>
                <w:b/>
                <w:bCs/>
                <w:spacing w:val="4"/>
                <w:sz w:val="22"/>
                <w:szCs w:val="22"/>
              </w:rPr>
            </w:pPr>
            <w:r>
              <w:rPr>
                <w:rFonts w:ascii="宋体" w:hAnsi="宋体" w:eastAsia="宋体" w:cs="宋体"/>
                <w:b/>
                <w:bCs/>
                <w:spacing w:val="4"/>
                <w:sz w:val="22"/>
                <w:szCs w:val="22"/>
              </w:rPr>
              <w:t>总分</w:t>
            </w:r>
          </w:p>
        </w:tc>
        <w:tc>
          <w:tcPr>
            <w:tcW w:w="8115" w:type="dxa"/>
            <w:gridSpan w:val="9"/>
            <w:noWrap w:val="0"/>
            <w:vAlign w:val="top"/>
          </w:tcPr>
          <w:p w14:paraId="39A5AB2D">
            <w:pPr>
              <w:spacing w:before="159" w:line="220" w:lineRule="auto"/>
              <w:ind w:left="175" w:leftChars="0"/>
              <w:rPr>
                <w:rFonts w:hint="default" w:eastAsia="宋体"/>
                <w:lang w:val="en-US" w:eastAsia="zh-CN"/>
              </w:rPr>
            </w:pPr>
            <w:r>
              <w:rPr>
                <w:rFonts w:hint="eastAsia" w:eastAsia="宋体"/>
                <w:lang w:val="en-US" w:eastAsia="zh-CN"/>
              </w:rPr>
              <w:t>97</w:t>
            </w:r>
          </w:p>
        </w:tc>
      </w:tr>
      <w:tr w14:paraId="35A9D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545E3167">
            <w:pPr>
              <w:jc w:val="left"/>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偏差大或目标未完成原因分析</w:t>
            </w:r>
          </w:p>
        </w:tc>
        <w:tc>
          <w:tcPr>
            <w:tcW w:w="8115" w:type="dxa"/>
            <w:gridSpan w:val="9"/>
            <w:noWrap w:val="0"/>
            <w:vAlign w:val="top"/>
          </w:tcPr>
          <w:p w14:paraId="2E626591">
            <w:pPr>
              <w:rPr>
                <w:rFonts w:hint="default" w:ascii="Arial" w:hAnsiTheme="minorHAnsi" w:eastAsiaTheme="minorEastAsia" w:cstheme="minorBidi"/>
                <w:kern w:val="2"/>
                <w:sz w:val="21"/>
                <w:szCs w:val="24"/>
                <w:lang w:val="en-US" w:eastAsia="zh-CN" w:bidi="ar-SA"/>
              </w:rPr>
            </w:pPr>
            <w:r>
              <w:rPr>
                <w:rFonts w:hint="eastAsia" w:ascii="Arial" w:cstheme="minorBidi"/>
                <w:kern w:val="2"/>
                <w:sz w:val="21"/>
                <w:szCs w:val="24"/>
                <w:lang w:val="en-US" w:eastAsia="zh-CN" w:bidi="ar-SA"/>
              </w:rPr>
              <w:t>无</w:t>
            </w:r>
          </w:p>
        </w:tc>
      </w:tr>
      <w:tr w14:paraId="4EDE2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4" w:type="dxa"/>
            <w:noWrap w:val="0"/>
            <w:vAlign w:val="top"/>
          </w:tcPr>
          <w:p w14:paraId="33A2986C">
            <w:pPr>
              <w:jc w:val="left"/>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改进措施及结果应用方案</w:t>
            </w:r>
          </w:p>
        </w:tc>
        <w:tc>
          <w:tcPr>
            <w:tcW w:w="8115" w:type="dxa"/>
            <w:gridSpan w:val="9"/>
            <w:noWrap w:val="0"/>
            <w:vAlign w:val="top"/>
          </w:tcPr>
          <w:p w14:paraId="526B2884">
            <w:pPr>
              <w:rPr>
                <w:rFonts w:hint="default" w:ascii="Arial" w:hAnsiTheme="minorHAnsi" w:eastAsiaTheme="minorEastAsia" w:cstheme="minorBidi"/>
                <w:kern w:val="2"/>
                <w:sz w:val="21"/>
                <w:szCs w:val="24"/>
                <w:lang w:val="en-US" w:eastAsia="zh-CN" w:bidi="ar-SA"/>
              </w:rPr>
            </w:pPr>
            <w:r>
              <w:rPr>
                <w:rFonts w:hint="eastAsia" w:ascii="Arial" w:cstheme="minorBidi"/>
                <w:kern w:val="2"/>
                <w:sz w:val="21"/>
                <w:szCs w:val="24"/>
                <w:lang w:val="en-US" w:eastAsia="zh-CN" w:bidi="ar-SA"/>
              </w:rPr>
              <w:t>无</w:t>
            </w:r>
          </w:p>
        </w:tc>
      </w:tr>
    </w:tbl>
    <w:p w14:paraId="4781D836">
      <w:pPr>
        <w:widowControl/>
        <w:spacing w:before="300"/>
        <w:jc w:val="left"/>
        <w:rPr>
          <w:rStyle w:val="8"/>
          <w:rFonts w:hint="default" w:ascii="宋体" w:hAnsi="宋体" w:eastAsia="宋体" w:cs="宋体"/>
          <w:b w:val="0"/>
          <w:bCs/>
          <w:i w:val="0"/>
          <w:caps w:val="0"/>
          <w:color w:val="000000"/>
          <w:spacing w:val="0"/>
          <w:sz w:val="28"/>
          <w:szCs w:val="28"/>
          <w:shd w:val="clear" w:fill="FFFFFF"/>
        </w:rPr>
      </w:pPr>
    </w:p>
    <w:p w14:paraId="04E2990E">
      <w:pPr>
        <w:widowControl/>
        <w:spacing w:before="300"/>
        <w:jc w:val="left"/>
        <w:rPr>
          <w:rStyle w:val="8"/>
          <w:rFonts w:hint="default" w:ascii="Arial" w:hAnsi="Arial" w:eastAsia="宋体" w:cs="Arial"/>
          <w:i w:val="0"/>
          <w:caps w:val="0"/>
          <w:color w:val="000000"/>
          <w:spacing w:val="0"/>
          <w:sz w:val="27"/>
          <w:szCs w:val="27"/>
          <w:shd w:val="clear" w:fill="FFFFFF"/>
        </w:rPr>
      </w:pPr>
      <w:bookmarkStart w:id="0" w:name="_GoBack"/>
      <w:bookmarkEnd w:id="0"/>
      <w:r>
        <w:rPr>
          <w:rStyle w:val="8"/>
          <w:rFonts w:hint="default" w:ascii="Arial" w:hAnsi="Arial" w:eastAsia="宋体" w:cs="Arial"/>
          <w:i w:val="0"/>
          <w:caps w:val="0"/>
          <w:color w:val="000000"/>
          <w:spacing w:val="0"/>
          <w:sz w:val="27"/>
          <w:szCs w:val="27"/>
          <w:shd w:val="clear" w:fill="FFFFFF"/>
        </w:rPr>
        <w:t>（三）绩效评级结果应用情况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1.部门绩效评价结果应用情况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w:t>
      </w:r>
      <w:r>
        <w:rPr>
          <w:rStyle w:val="8"/>
          <w:rFonts w:hint="default" w:ascii="宋体" w:hAnsi="宋体" w:eastAsia="宋体" w:cs="宋体"/>
          <w:b w:val="0"/>
          <w:bCs/>
          <w:i w:val="0"/>
          <w:caps w:val="0"/>
          <w:color w:val="000000"/>
          <w:spacing w:val="0"/>
          <w:sz w:val="28"/>
          <w:szCs w:val="28"/>
          <w:shd w:val="clear" w:fill="FFFFFF"/>
        </w:rPr>
        <w:t>  加强绩效评价结果应用，我单位将绩效自评结果作为以后年度该项目预算编制和安排财政资金的重要参考依据；将绩效自评结果按照要求向社会公开，自觉接受社会监督。</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Arial" w:hAnsi="Arial" w:eastAsia="宋体" w:cs="Arial"/>
          <w:i w:val="0"/>
          <w:caps w:val="0"/>
          <w:color w:val="000000"/>
          <w:spacing w:val="0"/>
          <w:sz w:val="27"/>
          <w:szCs w:val="27"/>
          <w:shd w:val="clear" w:fill="FFFFFF"/>
        </w:rPr>
        <w:t>2.部门绩效评价结果拟应用情况</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Arial" w:hAnsi="Arial" w:eastAsia="宋体" w:cs="Arial"/>
          <w:i w:val="0"/>
          <w:caps w:val="0"/>
          <w:color w:val="000000"/>
          <w:spacing w:val="0"/>
          <w:sz w:val="27"/>
          <w:szCs w:val="27"/>
          <w:shd w:val="clear" w:fill="FFFFFF"/>
        </w:rPr>
        <w:t>    </w:t>
      </w:r>
      <w:r>
        <w:rPr>
          <w:rStyle w:val="8"/>
          <w:rFonts w:hint="default" w:ascii="宋体" w:hAnsi="宋体" w:eastAsia="宋体" w:cs="宋体"/>
          <w:b w:val="0"/>
          <w:bCs/>
          <w:i w:val="0"/>
          <w:caps w:val="0"/>
          <w:color w:val="000000"/>
          <w:spacing w:val="0"/>
          <w:sz w:val="28"/>
          <w:szCs w:val="28"/>
          <w:shd w:val="clear" w:fill="FFFFFF"/>
        </w:rPr>
        <w:t> 我单位将绩效自评结果与2022年预算编制相结合，对实施效果好的项目优先保障项目资金预算，并在编制预算的过程中，对绩效目标及指标进行梳理完善，完成绩效指标编制自评工作。同时加强内部控制管理，建立项目绩效考核机制，促进项目产出及效益提升，将绩效管理工作落到实处。</w:t>
      </w:r>
    </w:p>
    <w:p w14:paraId="2BE5F38A">
      <w:pPr>
        <w:widowControl/>
        <w:spacing w:before="300"/>
        <w:jc w:val="left"/>
        <w:rPr>
          <w:rStyle w:val="8"/>
          <w:rFonts w:hint="default" w:ascii="Arial" w:hAnsi="Arial" w:eastAsia="宋体" w:cs="Arial"/>
          <w:i w:val="0"/>
          <w:caps w:val="0"/>
          <w:color w:val="000000"/>
          <w:spacing w:val="0"/>
          <w:sz w:val="27"/>
          <w:szCs w:val="27"/>
          <w:shd w:val="clear" w:fill="FFFFFF"/>
        </w:rPr>
      </w:pPr>
    </w:p>
    <w:p w14:paraId="2FCE47BE">
      <w:pPr>
        <w:widowControl/>
        <w:numPr>
          <w:ilvl w:val="0"/>
          <w:numId w:val="1"/>
        </w:numPr>
        <w:spacing w:before="300"/>
        <w:jc w:val="left"/>
        <w:rPr>
          <w:rStyle w:val="8"/>
          <w:rFonts w:hint="default" w:ascii="宋体" w:hAnsi="宋体" w:eastAsia="宋体" w:cs="宋体"/>
          <w:b w:val="0"/>
          <w:bCs/>
          <w:i w:val="0"/>
          <w:caps w:val="0"/>
          <w:color w:val="000000"/>
          <w:spacing w:val="0"/>
          <w:sz w:val="28"/>
          <w:szCs w:val="28"/>
          <w:shd w:val="clear" w:fill="FFFFFF"/>
        </w:rPr>
      </w:pPr>
      <w:r>
        <w:rPr>
          <w:rStyle w:val="8"/>
          <w:rFonts w:hint="default" w:ascii="Arial" w:hAnsi="Arial" w:eastAsia="宋体" w:cs="Arial"/>
          <w:i w:val="0"/>
          <w:caps w:val="0"/>
          <w:color w:val="000000"/>
          <w:spacing w:val="0"/>
          <w:sz w:val="27"/>
          <w:szCs w:val="27"/>
          <w:shd w:val="clear" w:fill="FFFFFF"/>
        </w:rPr>
        <w:t>名词解释</w:t>
      </w:r>
      <w:r>
        <w:rPr>
          <w:rStyle w:val="8"/>
          <w:rFonts w:hint="default" w:ascii="Arial" w:hAnsi="Arial" w:eastAsia="宋体" w:cs="Arial"/>
          <w:i w:val="0"/>
          <w:caps w:val="0"/>
          <w:color w:val="000000"/>
          <w:spacing w:val="0"/>
          <w:sz w:val="27"/>
          <w:szCs w:val="27"/>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一、财政拨款收入：指财政部门当年拨付的资金。</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二、事业收入：指事业单位开展专业业务活动及辅助活动所取得的收入。</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三、经营收入：指事业单位在专业业务活动及其辅助活动之外开展非独立核算经营活动取得的收入。</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四、其他收入：指除上述“财政拨款收入”、“事业收入”、“经营收入”</w:t>
      </w:r>
    </w:p>
    <w:p w14:paraId="4007BDE4">
      <w:pPr>
        <w:widowControl/>
        <w:numPr>
          <w:ilvl w:val="0"/>
          <w:numId w:val="0"/>
        </w:numPr>
        <w:spacing w:before="300"/>
        <w:jc w:val="left"/>
        <w:rPr>
          <w:rStyle w:val="8"/>
          <w:rFonts w:hint="default" w:ascii="宋体" w:hAnsi="宋体" w:eastAsia="宋体" w:cs="宋体"/>
          <w:b w:val="0"/>
          <w:bCs/>
          <w:i w:val="0"/>
          <w:caps w:val="0"/>
          <w:color w:val="000000"/>
          <w:spacing w:val="0"/>
          <w:sz w:val="28"/>
          <w:szCs w:val="28"/>
          <w:shd w:val="clear" w:fill="FFFFFF"/>
        </w:rPr>
      </w:pPr>
      <w:r>
        <w:rPr>
          <w:rStyle w:val="8"/>
          <w:rFonts w:hint="default" w:ascii="宋体" w:hAnsi="宋体" w:eastAsia="宋体" w:cs="宋体"/>
          <w:b w:val="0"/>
          <w:bCs/>
          <w:i w:val="0"/>
          <w:caps w:val="0"/>
          <w:color w:val="000000"/>
          <w:spacing w:val="0"/>
          <w:sz w:val="28"/>
          <w:szCs w:val="28"/>
          <w:shd w:val="clear" w:fill="FFFFFF"/>
        </w:rPr>
        <w:t>等以外的收入。</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六、年初结转和结余：指以前年度尚未完成、结转到本年 按有关规定继续使用的资金。</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七、结余分配：指事业单位按规定提取的职工福利基金、事业基金和缴纳的所得税，以及建设单位按规定应交回的基本建设竣工项目结余资金。</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八、年末结转和结余：指本年度或以前年度预算安排、因客观条件发生变化无法按原计划实施，需要延迟到以后年度按有关规定继续使用的资金。</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九、基本支出：指为保障机构正常运转、完成日常工作任务而发生的人员支出和公用支出。</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十、项目支出：指在基本支出之外为完成特定行政任务和事业发展目标所发生的支出。</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十一、经营支出：指事业单位在专业业务活动及其辅助活动之外开展非独立核算经营活动发生的支出。</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十二、“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Style w:val="8"/>
          <w:rFonts w:hint="default" w:ascii="宋体" w:hAnsi="宋体" w:eastAsia="宋体" w:cs="宋体"/>
          <w:b w:val="0"/>
          <w:bCs/>
          <w:i w:val="0"/>
          <w:caps w:val="0"/>
          <w:color w:val="000000"/>
          <w:spacing w:val="0"/>
          <w:sz w:val="28"/>
          <w:szCs w:val="28"/>
          <w:shd w:val="clear" w:fill="FFFFFF"/>
        </w:rPr>
        <w:br w:type="textWrapping"/>
      </w:r>
      <w:r>
        <w:rPr>
          <w:rStyle w:val="8"/>
          <w:rFonts w:hint="default" w:ascii="宋体" w:hAnsi="宋体" w:eastAsia="宋体" w:cs="宋体"/>
          <w:b w:val="0"/>
          <w:bCs/>
          <w:i w:val="0"/>
          <w:caps w:val="0"/>
          <w:color w:val="000000"/>
          <w:spacing w:val="0"/>
          <w:sz w:val="28"/>
          <w:szCs w:val="28"/>
          <w:shd w:val="clear"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CEEE82"/>
    <w:sectPr>
      <w:pgSz w:w="11906" w:h="16838"/>
      <w:pgMar w:top="1440" w:right="1474"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3339D"/>
    <w:multiLevelType w:val="singleLevel"/>
    <w:tmpl w:val="59A3339D"/>
    <w:lvl w:ilvl="0" w:tentative="0">
      <w:start w:val="4"/>
      <w:numFmt w:val="chineseCounting"/>
      <w:suff w:val="nothing"/>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RlZWI1ZWM5ZDE4YWFjM2ZlYmVhMDBiNDU4MTI4YzMifQ=="/>
  </w:docVars>
  <w:rsids>
    <w:rsidRoot w:val="29172B2D"/>
    <w:rsid w:val="00010497"/>
    <w:rsid w:val="00384159"/>
    <w:rsid w:val="00834A4C"/>
    <w:rsid w:val="00F97696"/>
    <w:rsid w:val="0411495D"/>
    <w:rsid w:val="09364BF6"/>
    <w:rsid w:val="171A1A2E"/>
    <w:rsid w:val="1A01361B"/>
    <w:rsid w:val="1EEB1311"/>
    <w:rsid w:val="220D5F3B"/>
    <w:rsid w:val="23286F1C"/>
    <w:rsid w:val="29172B2D"/>
    <w:rsid w:val="2AA7484B"/>
    <w:rsid w:val="32680F7D"/>
    <w:rsid w:val="3284374F"/>
    <w:rsid w:val="3D8D2A2E"/>
    <w:rsid w:val="41362C73"/>
    <w:rsid w:val="450449DD"/>
    <w:rsid w:val="46F73B78"/>
    <w:rsid w:val="48530302"/>
    <w:rsid w:val="4AE62FC1"/>
    <w:rsid w:val="4AFE176D"/>
    <w:rsid w:val="4BAC0734"/>
    <w:rsid w:val="551675C2"/>
    <w:rsid w:val="560B572F"/>
    <w:rsid w:val="562F1653"/>
    <w:rsid w:val="57430249"/>
    <w:rsid w:val="57BC4616"/>
    <w:rsid w:val="59D707B6"/>
    <w:rsid w:val="5AAB0478"/>
    <w:rsid w:val="616E7F4E"/>
    <w:rsid w:val="69BA4F74"/>
    <w:rsid w:val="6B9A2C94"/>
    <w:rsid w:val="6F476E20"/>
    <w:rsid w:val="7FC21A35"/>
    <w:rsid w:val="7FDA7B1D"/>
    <w:rsid w:val="7FFF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3"/>
    <w:qFormat/>
    <w:uiPriority w:val="0"/>
    <w:rPr>
      <w:rFonts w:asciiTheme="minorHAnsi" w:hAnsiTheme="minorHAnsi" w:eastAsiaTheme="minorEastAsia" w:cstheme="minorBidi"/>
      <w:kern w:val="2"/>
      <w:sz w:val="18"/>
      <w:szCs w:val="18"/>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4000</Words>
  <Characters>4472</Characters>
  <Lines>44</Lines>
  <Paragraphs>12</Paragraphs>
  <TotalTime>4</TotalTime>
  <ScaleCrop>false</ScaleCrop>
  <LinksUpToDate>false</LinksUpToDate>
  <CharactersWithSpaces>4559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2023-05-14T02:20:00Z</dcterms:created>
  <dc:creator>Administrator</dc:creator>
  <cp:lastModifiedBy>时间的尽头</cp:lastModifiedBy>
  <dcterms:modified xsi:type="dcterms:W3CDTF">2025-11-11T04:40:53Z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9A30E9C5766B4BD187661A1918A9DA12_11</vt:lpwstr>
  </property>
  <property fmtid="{D5CDD505-2E9C-101B-9397-08002B2CF9AE}" pid="4" name="KSOTemplateDocerSaveRecord">
    <vt:lpwstr>eyJoZGlkIjoiOTc4OTdhNTgyZmEzODBmNjY4YjAzM2FjZjRjYmE5ZDgiLCJ1c2VySWQiOiI1NTk0Mjk4NTAifQ==</vt:lpwstr>
  </property>
</Properties>
</file>