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39CDD"/>
    <w:p w14:paraId="29B77C2D">
      <w:pPr>
        <w:pStyle w:val="2"/>
        <w:widowControl/>
        <w:spacing w:beforeAutospacing="0" w:afterAutospacing="0" w:line="600" w:lineRule="atLeast"/>
        <w:jc w:val="center"/>
        <w:rPr>
          <w:rFonts w:hint="default"/>
          <w:color w:val="003366"/>
          <w:sz w:val="36"/>
          <w:szCs w:val="36"/>
        </w:rPr>
      </w:pPr>
      <w:r>
        <w:rPr>
          <w:sz w:val="36"/>
          <w:szCs w:val="36"/>
        </w:rPr>
        <w:t>下陆区人社局（本级）2021年决算公开</w:t>
      </w:r>
    </w:p>
    <w:p w14:paraId="2F938082">
      <w:pPr>
        <w:widowControl/>
        <w:spacing w:line="420" w:lineRule="atLeast"/>
        <w:jc w:val="center"/>
        <w:rPr>
          <w:szCs w:val="21"/>
        </w:rPr>
      </w:pPr>
      <w:r>
        <w:rPr>
          <w:rStyle w:val="8"/>
          <w:rFonts w:ascii="宋体" w:hAnsi="宋体" w:eastAsia="宋体" w:cs="宋体"/>
          <w:kern w:val="0"/>
          <w:sz w:val="33"/>
          <w:szCs w:val="33"/>
        </w:rPr>
        <w:t>目   录</w:t>
      </w:r>
    </w:p>
    <w:p w14:paraId="51212819">
      <w:pPr>
        <w:widowControl/>
        <w:spacing w:before="300" w:line="420" w:lineRule="atLeast"/>
        <w:jc w:val="left"/>
        <w:rPr>
          <w:rFonts w:ascii="Arial" w:hAnsi="Arial" w:eastAsia="宋体" w:cs="Arial"/>
          <w:b/>
          <w:bCs/>
          <w:color w:val="000000"/>
          <w:sz w:val="27"/>
          <w:szCs w:val="27"/>
          <w:shd w:val="clear" w:color="auto" w:fill="FFFFFF"/>
        </w:rPr>
      </w:pPr>
      <w:r>
        <w:rPr>
          <w:rFonts w:ascii="宋体" w:hAnsi="宋体" w:eastAsia="宋体" w:cs="宋体"/>
          <w:kern w:val="0"/>
          <w:szCs w:val="21"/>
        </w:rPr>
        <w:br w:type="textWrapping"/>
      </w:r>
      <w:r>
        <w:rPr>
          <w:rFonts w:ascii="Arial" w:hAnsi="Arial" w:eastAsia="宋体" w:cs="Arial"/>
          <w:b/>
          <w:bCs/>
          <w:color w:val="000000"/>
          <w:sz w:val="27"/>
          <w:szCs w:val="27"/>
          <w:shd w:val="clear" w:color="auto" w:fill="FFFFFF"/>
        </w:rPr>
        <w:t>第一部分:部门基本情况</w:t>
      </w:r>
      <w:r>
        <w:rPr>
          <w:rFonts w:ascii="宋体" w:hAnsi="宋体" w:eastAsia="宋体" w:cs="宋体"/>
          <w:kern w:val="0"/>
          <w:szCs w:val="21"/>
        </w:rPr>
        <w:br w:type="textWrapping"/>
      </w:r>
      <w:r>
        <w:rPr>
          <w:rFonts w:ascii="Arial" w:hAnsi="Arial" w:eastAsia="宋体" w:cs="Arial"/>
          <w:color w:val="000000"/>
          <w:sz w:val="27"/>
          <w:szCs w:val="27"/>
          <w:shd w:val="clear" w:color="auto" w:fill="FFFFFF"/>
        </w:rPr>
        <w:t>一、部门主要职责</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二、部门机构设置情况</w:t>
      </w:r>
      <w:r>
        <w:rPr>
          <w:rFonts w:ascii="Arial" w:hAnsi="Arial" w:eastAsia="宋体" w:cs="Arial"/>
          <w:color w:val="000000"/>
          <w:sz w:val="27"/>
          <w:szCs w:val="27"/>
          <w:shd w:val="clear" w:color="auto" w:fill="FFFFFF"/>
        </w:rPr>
        <w:br w:type="textWrapping"/>
      </w:r>
      <w:r>
        <w:rPr>
          <w:rFonts w:ascii="Arial" w:hAnsi="Arial" w:eastAsia="宋体" w:cs="Arial"/>
          <w:b/>
          <w:bCs/>
          <w:color w:val="000000"/>
          <w:sz w:val="27"/>
          <w:szCs w:val="27"/>
          <w:shd w:val="clear" w:color="auto" w:fill="FFFFFF"/>
        </w:rPr>
        <w:t>第二部分: 部门2021年部门决算表</w:t>
      </w:r>
      <w:r>
        <w:rPr>
          <w:rFonts w:ascii="宋体" w:hAnsi="宋体" w:eastAsia="宋体" w:cs="宋体"/>
          <w:kern w:val="0"/>
          <w:szCs w:val="21"/>
        </w:rPr>
        <w:br w:type="textWrapping"/>
      </w:r>
      <w:r>
        <w:rPr>
          <w:rFonts w:ascii="Arial" w:hAnsi="Arial" w:eastAsia="宋体" w:cs="Arial"/>
          <w:color w:val="000000"/>
          <w:sz w:val="27"/>
          <w:szCs w:val="27"/>
          <w:shd w:val="clear" w:color="auto" w:fill="FFFFFF"/>
        </w:rPr>
        <w:t>一、收入支出决算总表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二、收入决算表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三、支出决算表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四、财政拨款收入支出决算总表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五、一般公共预算财政拨款支出决算表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六、一般公共预算财政拨款基本支出决算表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七、一般公共预算财政拨款“三公”经费支出决算表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八、政府性基金预算财政拨款收入支出决算表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九、国有资本经营预算财政拨款支出决算表</w:t>
      </w:r>
      <w:r>
        <w:rPr>
          <w:rFonts w:ascii="Arial" w:hAnsi="Arial" w:eastAsia="宋体" w:cs="Arial"/>
          <w:color w:val="000000"/>
          <w:sz w:val="27"/>
          <w:szCs w:val="27"/>
          <w:shd w:val="clear" w:color="auto" w:fill="FFFFFF"/>
        </w:rPr>
        <w:br w:type="textWrapping"/>
      </w:r>
      <w:r>
        <w:rPr>
          <w:rFonts w:ascii="Arial" w:hAnsi="Arial" w:eastAsia="宋体" w:cs="Arial"/>
          <w:b/>
          <w:bCs/>
          <w:color w:val="000000"/>
          <w:sz w:val="27"/>
          <w:szCs w:val="27"/>
          <w:shd w:val="clear" w:color="auto" w:fill="FFFFFF"/>
        </w:rPr>
        <w:t>第三部分：部门2021年部门决算情况说明</w:t>
      </w:r>
      <w:r>
        <w:rPr>
          <w:rFonts w:ascii="宋体" w:hAnsi="宋体" w:eastAsia="宋体" w:cs="宋体"/>
          <w:kern w:val="0"/>
          <w:szCs w:val="21"/>
        </w:rPr>
        <w:br w:type="textWrapping"/>
      </w:r>
      <w:r>
        <w:rPr>
          <w:rFonts w:ascii="Arial" w:hAnsi="Arial" w:eastAsia="宋体" w:cs="Arial"/>
          <w:color w:val="000000"/>
          <w:sz w:val="27"/>
          <w:szCs w:val="27"/>
          <w:shd w:val="clear" w:color="auto" w:fill="FFFFFF"/>
        </w:rPr>
        <w:t>一、收支总体情况说明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二、决算收入</w:t>
      </w:r>
      <w:r>
        <w:rPr>
          <w:rFonts w:hint="eastAsia" w:ascii="Arial" w:hAnsi="Arial" w:eastAsia="宋体" w:cs="Arial"/>
          <w:color w:val="000000"/>
          <w:sz w:val="27"/>
          <w:szCs w:val="27"/>
          <w:shd w:val="clear" w:color="auto" w:fill="FFFFFF"/>
        </w:rPr>
        <w:t>支出</w:t>
      </w:r>
      <w:r>
        <w:rPr>
          <w:rFonts w:ascii="Arial" w:hAnsi="Arial" w:eastAsia="宋体" w:cs="Arial"/>
          <w:color w:val="000000"/>
          <w:sz w:val="27"/>
          <w:szCs w:val="27"/>
          <w:shd w:val="clear" w:color="auto" w:fill="FFFFFF"/>
        </w:rPr>
        <w:t>增减变化情况说明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三、财政拨款收入支出决算情况说明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四</w:t>
      </w:r>
      <w:r>
        <w:rPr>
          <w:rFonts w:ascii="Arial" w:hAnsi="Arial" w:eastAsia="宋体" w:cs="Arial"/>
          <w:color w:val="000000"/>
          <w:sz w:val="27"/>
          <w:szCs w:val="27"/>
          <w:shd w:val="clear" w:color="auto" w:fill="FFFFFF"/>
        </w:rPr>
        <w:t>、一般公共预算财政拨款支出决算情况说明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五</w:t>
      </w:r>
      <w:r>
        <w:rPr>
          <w:rFonts w:ascii="Arial" w:hAnsi="Arial" w:eastAsia="宋体" w:cs="Arial"/>
          <w:color w:val="000000"/>
          <w:sz w:val="27"/>
          <w:szCs w:val="27"/>
          <w:shd w:val="clear" w:color="auto" w:fill="FFFFFF"/>
        </w:rPr>
        <w:t>、一般公共预算财政拨款基本支出决算情况说明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六</w:t>
      </w:r>
      <w:r>
        <w:rPr>
          <w:rFonts w:ascii="Arial" w:hAnsi="Arial" w:eastAsia="宋体" w:cs="Arial"/>
          <w:color w:val="000000"/>
          <w:sz w:val="27"/>
          <w:szCs w:val="27"/>
          <w:shd w:val="clear" w:color="auto" w:fill="FFFFFF"/>
        </w:rPr>
        <w:t>、一般公共预算财政拨款“三公”经费支出决算情况说明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七</w:t>
      </w:r>
      <w:r>
        <w:rPr>
          <w:rFonts w:ascii="Arial" w:hAnsi="Arial" w:eastAsia="宋体" w:cs="Arial"/>
          <w:color w:val="000000"/>
          <w:sz w:val="27"/>
          <w:szCs w:val="27"/>
          <w:shd w:val="clear" w:color="auto" w:fill="FFFFFF"/>
        </w:rPr>
        <w:t>、机关运行费执行情况说明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八</w:t>
      </w:r>
      <w:r>
        <w:rPr>
          <w:rFonts w:ascii="Arial" w:hAnsi="Arial" w:eastAsia="宋体" w:cs="Arial"/>
          <w:color w:val="000000"/>
          <w:sz w:val="27"/>
          <w:szCs w:val="27"/>
          <w:shd w:val="clear" w:color="auto" w:fill="FFFFFF"/>
        </w:rPr>
        <w:t>、政府采购支出情况说明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九</w:t>
      </w:r>
      <w:r>
        <w:rPr>
          <w:rFonts w:ascii="Arial" w:hAnsi="Arial" w:eastAsia="宋体" w:cs="Arial"/>
          <w:color w:val="000000"/>
          <w:sz w:val="27"/>
          <w:szCs w:val="27"/>
          <w:shd w:val="clear" w:color="auto" w:fill="FFFFFF"/>
        </w:rPr>
        <w:t>、国有资产占用情况说明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十、其他情况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w:t>
      </w:r>
      <w:r>
        <w:rPr>
          <w:rFonts w:hint="eastAsia" w:ascii="Arial" w:hAnsi="Arial" w:eastAsia="宋体" w:cs="Arial"/>
          <w:color w:val="000000"/>
          <w:sz w:val="27"/>
          <w:szCs w:val="27"/>
          <w:shd w:val="clear" w:color="auto" w:fill="FFFFFF"/>
        </w:rPr>
        <w:t>一</w:t>
      </w:r>
      <w:r>
        <w:rPr>
          <w:rFonts w:ascii="Arial" w:hAnsi="Arial" w:eastAsia="宋体" w:cs="Arial"/>
          <w:color w:val="000000"/>
          <w:sz w:val="27"/>
          <w:szCs w:val="27"/>
          <w:shd w:val="clear" w:color="auto" w:fill="FFFFFF"/>
        </w:rPr>
        <w:t>、预算绩效情况说明</w:t>
      </w:r>
      <w:r>
        <w:rPr>
          <w:rFonts w:ascii="Arial" w:hAnsi="Arial" w:eastAsia="宋体" w:cs="Arial"/>
          <w:color w:val="000000"/>
          <w:sz w:val="27"/>
          <w:szCs w:val="27"/>
          <w:shd w:val="clear" w:color="auto" w:fill="FFFFFF"/>
        </w:rPr>
        <w:br w:type="textWrapping"/>
      </w:r>
      <w:r>
        <w:rPr>
          <w:rFonts w:ascii="Arial" w:hAnsi="Arial" w:eastAsia="宋体" w:cs="Arial"/>
          <w:b/>
          <w:bCs/>
          <w:color w:val="000000"/>
          <w:sz w:val="27"/>
          <w:szCs w:val="27"/>
          <w:shd w:val="clear" w:color="auto" w:fill="FFFFFF"/>
        </w:rPr>
        <w:t>第四部分、名词解释</w:t>
      </w:r>
    </w:p>
    <w:p w14:paraId="0B4C19D3">
      <w:pPr>
        <w:rPr>
          <w:rFonts w:ascii="宋体" w:hAnsi="宋体" w:eastAsia="宋体" w:cs="宋体"/>
          <w:kern w:val="0"/>
          <w:szCs w:val="21"/>
        </w:rPr>
      </w:pPr>
    </w:p>
    <w:p w14:paraId="6E814B2D">
      <w:pPr>
        <w:rPr>
          <w:rFonts w:ascii="宋体" w:hAnsi="宋体" w:eastAsia="宋体" w:cs="宋体"/>
          <w:kern w:val="0"/>
          <w:szCs w:val="21"/>
        </w:rPr>
      </w:pPr>
    </w:p>
    <w:p w14:paraId="21B1B128">
      <w:pPr>
        <w:rPr>
          <w:rFonts w:ascii="Arial" w:hAnsi="Arial" w:eastAsia="宋体" w:cs="Arial"/>
          <w:sz w:val="27"/>
          <w:szCs w:val="27"/>
          <w:shd w:val="clear" w:color="auto" w:fill="FFFFFF"/>
        </w:rPr>
      </w:pPr>
      <w:r>
        <w:rPr>
          <w:rFonts w:ascii="宋体" w:hAnsi="宋体" w:eastAsia="宋体" w:cs="宋体"/>
          <w:kern w:val="0"/>
          <w:szCs w:val="21"/>
        </w:rPr>
        <w:br w:type="textWrapping"/>
      </w:r>
      <w:r>
        <w:rPr>
          <w:rFonts w:ascii="Arial" w:hAnsi="Arial" w:eastAsia="宋体" w:cs="Arial"/>
          <w:b/>
          <w:bCs/>
          <w:color w:val="000000"/>
          <w:sz w:val="27"/>
          <w:szCs w:val="27"/>
          <w:shd w:val="clear" w:color="auto" w:fill="FFFFFF"/>
        </w:rPr>
        <w:t>第一部分:部门基本情况</w:t>
      </w:r>
      <w:r>
        <w:rPr>
          <w:rFonts w:ascii="Arial" w:hAnsi="Arial" w:eastAsia="宋体" w:cs="Arial"/>
          <w:b/>
          <w:bCs/>
          <w:color w:val="000000"/>
          <w:sz w:val="27"/>
          <w:szCs w:val="27"/>
          <w:shd w:val="clear" w:color="auto" w:fill="FFFFFF"/>
        </w:rPr>
        <w:br w:type="textWrapping"/>
      </w:r>
      <w:r>
        <w:rPr>
          <w:rFonts w:ascii="Arial" w:hAnsi="Arial" w:eastAsia="宋体" w:cs="Arial"/>
          <w:b/>
          <w:bCs/>
          <w:color w:val="000000"/>
          <w:sz w:val="27"/>
          <w:szCs w:val="27"/>
          <w:shd w:val="clear" w:color="auto" w:fill="FFFFFF"/>
        </w:rPr>
        <w:t>一、部门主要职责</w:t>
      </w:r>
      <w:r>
        <w:rPr>
          <w:rFonts w:ascii="Arial" w:hAnsi="Arial" w:eastAsia="宋体" w:cs="Arial"/>
          <w:b/>
          <w:bCs/>
          <w:color w:val="000000"/>
          <w:sz w:val="27"/>
          <w:szCs w:val="27"/>
          <w:shd w:val="clear" w:color="auto" w:fill="FFFFFF"/>
        </w:rPr>
        <w:br w:type="textWrapping"/>
      </w:r>
      <w:r>
        <w:rPr>
          <w:rFonts w:ascii="Arial" w:hAnsi="Arial" w:eastAsia="宋体" w:cs="Arial"/>
          <w:color w:val="000000"/>
          <w:sz w:val="27"/>
          <w:szCs w:val="27"/>
          <w:shd w:val="clear" w:color="auto" w:fill="FFFFFF"/>
        </w:rPr>
        <w:t>1、贯彻实施国家、省、市关于人力资源和社会保障的政策法规，拟定全区人力资源和社会保障事业发展规划,起草人力资源和社会保障方面规范性文件，经批准后组织实施和监督检查。</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2、负责全区促进就业创业工作，组织实施统筹城乡的就业发展规划和政策，实施高校毕业生就业政策，完善公共就业服务体系，加强再就业专项资金管理，执行就业扶持政策、就业援助制度，推动创业带动就业；开展就业登记、失业登记、职业指导、职业培训、职业介绍、劳动保障事务代理等服务。</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3、组织实施国家、省、市社会保险法律、法规，按照省、市劳动和社会保险地方行政和基本标准组织实施和监督检查，统筹建立覆盖全区城乡的社会保障体系。负责城</w:t>
      </w:r>
      <w:r>
        <w:rPr>
          <w:rFonts w:ascii="Arial" w:hAnsi="Arial" w:eastAsia="宋体" w:cs="Arial"/>
          <w:sz w:val="27"/>
          <w:szCs w:val="27"/>
          <w:shd w:val="clear" w:color="auto" w:fill="FFFFFF"/>
        </w:rPr>
        <w:t>区居民养老保险、机关事业单位养老保险、被征地农民养老保险等社会保险</w:t>
      </w:r>
      <w:r>
        <w:rPr>
          <w:rFonts w:hint="eastAsia" w:ascii="Arial" w:hAnsi="Arial" w:eastAsia="宋体" w:cs="Arial"/>
          <w:sz w:val="27"/>
          <w:szCs w:val="27"/>
          <w:shd w:val="clear" w:color="auto" w:fill="FFFFFF"/>
        </w:rPr>
        <w:t>管理工作；</w:t>
      </w:r>
      <w:r>
        <w:rPr>
          <w:rFonts w:ascii="Arial" w:hAnsi="Arial" w:eastAsia="宋体" w:cs="Arial"/>
          <w:sz w:val="27"/>
          <w:szCs w:val="27"/>
          <w:shd w:val="clear" w:color="auto" w:fill="FFFFFF"/>
        </w:rPr>
        <w:t>承担城镇职工</w:t>
      </w:r>
      <w:r>
        <w:rPr>
          <w:rFonts w:ascii="Arial" w:hAnsi="Arial" w:eastAsia="宋体" w:cs="Arial"/>
          <w:color w:val="000000"/>
          <w:sz w:val="27"/>
          <w:szCs w:val="27"/>
          <w:shd w:val="clear" w:color="auto" w:fill="FFFFFF"/>
        </w:rPr>
        <w:t>养老、失业、工伤等社会保险</w:t>
      </w:r>
      <w:r>
        <w:rPr>
          <w:rFonts w:ascii="Arial" w:hAnsi="Arial" w:eastAsia="宋体" w:cs="Arial"/>
          <w:sz w:val="27"/>
          <w:szCs w:val="27"/>
          <w:shd w:val="clear" w:color="auto" w:fill="FFFFFF"/>
        </w:rPr>
        <w:t>扩面工作</w:t>
      </w:r>
      <w:r>
        <w:rPr>
          <w:rFonts w:hint="eastAsia" w:ascii="Arial" w:hAnsi="Arial" w:eastAsia="宋体" w:cs="Arial"/>
          <w:sz w:val="27"/>
          <w:szCs w:val="27"/>
          <w:shd w:val="clear" w:color="auto" w:fill="FFFFFF"/>
        </w:rPr>
        <w:t>。</w:t>
      </w:r>
      <w:r>
        <w:rPr>
          <w:rFonts w:ascii="Arial" w:hAnsi="Arial" w:eastAsia="宋体" w:cs="Arial"/>
          <w:sz w:val="27"/>
          <w:szCs w:val="27"/>
          <w:shd w:val="clear" w:color="auto" w:fill="FFFFFF"/>
        </w:rPr>
        <w:br w:type="textWrapping"/>
      </w:r>
      <w:r>
        <w:rPr>
          <w:rFonts w:ascii="Arial" w:hAnsi="Arial" w:eastAsia="宋体" w:cs="Arial"/>
          <w:color w:val="000000"/>
          <w:sz w:val="27"/>
          <w:szCs w:val="27"/>
          <w:shd w:val="clear" w:color="auto" w:fill="FFFFFF"/>
        </w:rPr>
        <w:t>4、负责全区职业能力建设工作。统筹建立面向全体劳动者的职业培训制度，统筹建立专业技术人员继续教育制度，执行各项管理人才、专业技术人才、高技能人才、农村实用人才培养和激励政策。</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5、</w:t>
      </w:r>
      <w:r>
        <w:rPr>
          <w:rFonts w:ascii="Arial" w:hAnsi="Arial" w:eastAsia="宋体" w:cs="Arial"/>
          <w:color w:val="000000"/>
          <w:sz w:val="27"/>
          <w:szCs w:val="27"/>
          <w:shd w:val="clear" w:color="auto" w:fill="FFFFFF"/>
        </w:rPr>
        <w:t>负责全区事业单位人员综</w:t>
      </w:r>
      <w:r>
        <w:rPr>
          <w:rFonts w:ascii="Arial" w:hAnsi="Arial" w:eastAsia="宋体" w:cs="Arial"/>
          <w:sz w:val="27"/>
          <w:szCs w:val="27"/>
          <w:shd w:val="clear" w:color="auto" w:fill="FFFFFF"/>
        </w:rPr>
        <w:t>合管理工作</w:t>
      </w:r>
      <w:r>
        <w:rPr>
          <w:rFonts w:hint="eastAsia" w:ascii="Arial" w:hAnsi="Arial" w:eastAsia="宋体" w:cs="Arial"/>
          <w:sz w:val="27"/>
          <w:szCs w:val="27"/>
          <w:shd w:val="clear" w:color="auto" w:fill="FFFFFF"/>
        </w:rPr>
        <w:t>，执行事业单位工资收入分配、福利和离退休政策，建立全区事业单位人员工资正常增长和支付保障机制，并监督检查实施情况。</w:t>
      </w:r>
    </w:p>
    <w:p w14:paraId="29EF6930">
      <w:pPr>
        <w:rPr>
          <w:rFonts w:ascii="Arial" w:hAnsi="Arial" w:eastAsia="宋体" w:cs="Arial"/>
          <w:sz w:val="27"/>
          <w:szCs w:val="27"/>
          <w:shd w:val="clear" w:color="auto" w:fill="FFFFFF"/>
        </w:rPr>
      </w:pPr>
      <w:r>
        <w:rPr>
          <w:rFonts w:hint="eastAsia" w:ascii="Arial" w:hAnsi="Arial" w:eastAsia="宋体" w:cs="Arial"/>
          <w:sz w:val="27"/>
          <w:szCs w:val="27"/>
          <w:shd w:val="clear" w:color="auto" w:fill="FFFFFF"/>
        </w:rPr>
        <w:t>6</w:t>
      </w:r>
      <w:r>
        <w:rPr>
          <w:rFonts w:ascii="Arial" w:hAnsi="Arial" w:eastAsia="宋体" w:cs="Arial"/>
          <w:sz w:val="27"/>
          <w:szCs w:val="27"/>
          <w:shd w:val="clear" w:color="auto" w:fill="FFFFFF"/>
        </w:rPr>
        <w:t>、负责全区专业技术人员队伍建设工作；负责全区专业技术人员职称组织、申报和初审工作，负责全区人才资源规划、开发工作</w:t>
      </w:r>
      <w:r>
        <w:rPr>
          <w:rFonts w:hint="eastAsia" w:ascii="Arial" w:hAnsi="Arial" w:eastAsia="宋体" w:cs="Arial"/>
          <w:sz w:val="27"/>
          <w:szCs w:val="27"/>
          <w:shd w:val="clear" w:color="auto" w:fill="FFFFFF"/>
        </w:rPr>
        <w:t>。</w:t>
      </w:r>
    </w:p>
    <w:p w14:paraId="78CFED25">
      <w:pPr>
        <w:rPr>
          <w:rFonts w:ascii="Arial" w:hAnsi="Arial" w:eastAsia="宋体" w:cs="Arial"/>
          <w:sz w:val="27"/>
          <w:szCs w:val="27"/>
          <w:shd w:val="clear" w:color="auto" w:fill="FFFFFF"/>
        </w:rPr>
      </w:pPr>
      <w:r>
        <w:rPr>
          <w:rFonts w:hint="eastAsia" w:ascii="Arial" w:hAnsi="Arial" w:eastAsia="宋体" w:cs="Arial"/>
          <w:sz w:val="27"/>
          <w:szCs w:val="27"/>
          <w:shd w:val="clear" w:color="auto" w:fill="FFFFFF"/>
        </w:rPr>
        <w:t>7、统筹实施劳动、人事争议调解仲裁制度，落实劳动关系政策并完善相关协调机制，组织实施劳动合同制度，监督落实消除非法使用童工政策和女工、未成年工的特殊劳动保护政策，组织实施劳动监察，协调劳动者维权工作，依法查处重大案件，维护农民工合法权益，协调解决有关农民工工作重点难点问题，完善人力资源和社会保障系统信访工作制度。</w:t>
      </w:r>
      <w:r>
        <w:rPr>
          <w:rFonts w:ascii="Arial" w:hAnsi="Arial" w:eastAsia="宋体" w:cs="Arial"/>
          <w:sz w:val="27"/>
          <w:szCs w:val="27"/>
          <w:shd w:val="clear" w:color="auto" w:fill="FFFFFF"/>
        </w:rPr>
        <w:br w:type="textWrapping"/>
      </w:r>
      <w:r>
        <w:rPr>
          <w:rFonts w:ascii="Arial" w:hAnsi="Arial" w:eastAsia="宋体" w:cs="Arial"/>
          <w:sz w:val="27"/>
          <w:szCs w:val="27"/>
          <w:shd w:val="clear" w:color="auto" w:fill="FFFFFF"/>
        </w:rPr>
        <w:t>8、</w:t>
      </w:r>
      <w:r>
        <w:rPr>
          <w:rFonts w:hint="eastAsia" w:ascii="Arial" w:hAnsi="Arial" w:eastAsia="宋体" w:cs="Arial"/>
          <w:sz w:val="27"/>
          <w:szCs w:val="27"/>
          <w:shd w:val="clear" w:color="auto" w:fill="FFFFFF"/>
        </w:rPr>
        <w:t>负责全区人力资源和社会保障体系的建设，指导全区各街道、社区加强人力资源和</w:t>
      </w:r>
      <w:r>
        <w:rPr>
          <w:rFonts w:hint="eastAsia" w:ascii="Arial" w:hAnsi="Arial" w:eastAsia="宋体" w:cs="Arial"/>
          <w:sz w:val="27"/>
          <w:szCs w:val="27"/>
          <w:shd w:val="clear" w:color="auto" w:fill="FFFFFF"/>
          <w:lang w:eastAsia="zh-CN"/>
        </w:rPr>
        <w:t>社会</w:t>
      </w:r>
      <w:r>
        <w:rPr>
          <w:rFonts w:hint="eastAsia" w:ascii="Arial" w:hAnsi="Arial" w:eastAsia="宋体" w:cs="Arial"/>
          <w:sz w:val="27"/>
          <w:szCs w:val="27"/>
          <w:shd w:val="clear" w:color="auto" w:fill="FFFFFF"/>
        </w:rPr>
        <w:t>保障服务工作。</w:t>
      </w:r>
    </w:p>
    <w:p w14:paraId="01CC8E7B">
      <w:pPr>
        <w:keepNext w:val="0"/>
        <w:keepLines w:val="0"/>
        <w:widowControl/>
        <w:suppressLineNumbers w:val="0"/>
        <w:jc w:val="left"/>
      </w:pPr>
      <w:r>
        <w:rPr>
          <w:rFonts w:ascii="Arial" w:hAnsi="Arial" w:eastAsia="宋体" w:cs="Arial"/>
          <w:sz w:val="27"/>
          <w:szCs w:val="27"/>
          <w:shd w:val="clear" w:color="auto" w:fill="FFFFFF"/>
        </w:rPr>
        <w:t>9、完成上级交办的其他任务。　　</w:t>
      </w:r>
      <w:r>
        <w:rPr>
          <w:rFonts w:ascii="Arial" w:hAnsi="Arial" w:eastAsia="宋体" w:cs="Arial"/>
          <w:sz w:val="27"/>
          <w:szCs w:val="27"/>
          <w:shd w:val="clear" w:color="auto" w:fill="FFFFFF"/>
        </w:rPr>
        <w:br w:type="textWrapping"/>
      </w:r>
      <w:r>
        <w:rPr>
          <w:rFonts w:ascii="Arial" w:hAnsi="Arial" w:eastAsia="宋体" w:cs="Arial"/>
          <w:sz w:val="27"/>
          <w:szCs w:val="27"/>
          <w:shd w:val="clear" w:color="auto" w:fill="FFFFFF"/>
        </w:rPr>
        <w:t>10、</w:t>
      </w:r>
      <w:r>
        <w:rPr>
          <w:rFonts w:hint="eastAsia" w:ascii="Arial" w:hAnsi="Arial" w:eastAsia="宋体" w:cs="Arial"/>
          <w:sz w:val="27"/>
          <w:szCs w:val="27"/>
          <w:shd w:val="clear" w:color="auto" w:fill="FFFFFF"/>
        </w:rPr>
        <w:t>职能转变。区人力资源和社会保障局应加强促进就业创业、持续推进养老保险制度改革、激励人才创新创业、保障农民工权益等职责。</w:t>
      </w:r>
      <w:r>
        <w:rPr>
          <w:rFonts w:ascii="Arial" w:hAnsi="Arial" w:eastAsia="宋体" w:cs="Arial"/>
          <w:color w:val="000000"/>
          <w:sz w:val="27"/>
          <w:szCs w:val="27"/>
          <w:shd w:val="clear" w:color="auto" w:fill="FFFFFF"/>
        </w:rPr>
        <w:br w:type="textWrapping"/>
      </w:r>
      <w:r>
        <w:rPr>
          <w:rFonts w:ascii="Arial" w:hAnsi="Arial" w:eastAsia="宋体" w:cs="Arial"/>
          <w:b/>
          <w:bCs/>
          <w:color w:val="000000"/>
          <w:sz w:val="27"/>
          <w:szCs w:val="27"/>
          <w:shd w:val="clear" w:color="auto" w:fill="FFFFFF"/>
        </w:rPr>
        <w:t>二、部门机构设置情况</w:t>
      </w:r>
      <w:r>
        <w:rPr>
          <w:rFonts w:ascii="宋体" w:hAnsi="宋体" w:eastAsia="宋体" w:cs="宋体"/>
          <w:kern w:val="0"/>
          <w:szCs w:val="21"/>
        </w:rPr>
        <w:br w:type="textWrapping"/>
      </w:r>
      <w:r>
        <w:rPr>
          <w:rFonts w:ascii="Arial" w:hAnsi="Arial" w:eastAsia="宋体" w:cs="Arial"/>
          <w:color w:val="000000"/>
          <w:sz w:val="27"/>
          <w:szCs w:val="27"/>
          <w:shd w:val="clear" w:color="auto" w:fill="FFFFFF"/>
        </w:rPr>
        <w:t>1、机构设置情况：下陆区人力资源和社会保障局归口管理下陆区公共就业和社会保险服务中心1个事业单位。</w:t>
      </w:r>
      <w:r>
        <w:rPr>
          <w:rFonts w:hint="eastAsia" w:ascii="Arial" w:hAnsi="Arial" w:eastAsia="宋体" w:cs="Arial"/>
          <w:color w:val="000000"/>
          <w:sz w:val="27"/>
          <w:szCs w:val="27"/>
          <w:shd w:val="clear" w:color="auto" w:fill="FFFFFF"/>
        </w:rPr>
        <w:t>本单位</w:t>
      </w:r>
      <w:r>
        <w:rPr>
          <w:rFonts w:ascii="Arial" w:hAnsi="Arial" w:eastAsia="宋体" w:cs="Arial"/>
          <w:color w:val="000000"/>
          <w:sz w:val="27"/>
          <w:szCs w:val="27"/>
          <w:shd w:val="clear" w:color="auto" w:fill="FFFFFF"/>
        </w:rPr>
        <w:t>内</w:t>
      </w:r>
      <w:r>
        <w:rPr>
          <w:rFonts w:hint="eastAsia" w:ascii="Arial" w:hAnsi="Arial" w:eastAsia="宋体" w:cs="Arial"/>
          <w:color w:val="000000"/>
          <w:sz w:val="27"/>
          <w:szCs w:val="27"/>
          <w:shd w:val="clear" w:color="auto" w:fill="FFFFFF"/>
        </w:rPr>
        <w:t>设置</w:t>
      </w:r>
      <w:r>
        <w:rPr>
          <w:rFonts w:ascii="Arial" w:hAnsi="Arial" w:eastAsia="宋体" w:cs="Arial"/>
          <w:color w:val="000000"/>
          <w:sz w:val="27"/>
          <w:szCs w:val="27"/>
          <w:shd w:val="clear" w:color="auto" w:fill="FFFFFF"/>
        </w:rPr>
        <w:t>办公室</w:t>
      </w:r>
      <w:r>
        <w:rPr>
          <w:rFonts w:hint="eastAsia" w:ascii="Arial" w:hAnsi="Arial" w:eastAsia="宋体" w:cs="Arial"/>
          <w:color w:val="000000"/>
          <w:sz w:val="27"/>
          <w:szCs w:val="27"/>
          <w:shd w:val="clear" w:color="auto" w:fill="FFFFFF"/>
        </w:rPr>
        <w:t>、综合科、</w:t>
      </w:r>
      <w:r>
        <w:rPr>
          <w:rFonts w:ascii="Arial" w:hAnsi="Arial" w:eastAsia="宋体" w:cs="Arial"/>
          <w:color w:val="000000"/>
          <w:sz w:val="27"/>
          <w:szCs w:val="27"/>
          <w:shd w:val="clear" w:color="auto" w:fill="FFFFFF"/>
        </w:rPr>
        <w:t>财务室</w:t>
      </w:r>
      <w:r>
        <w:rPr>
          <w:rFonts w:hint="eastAsia" w:ascii="Arial" w:hAnsi="Arial" w:eastAsia="宋体" w:cs="Arial"/>
          <w:color w:val="000000"/>
          <w:sz w:val="27"/>
          <w:szCs w:val="27"/>
          <w:shd w:val="clear" w:color="auto" w:fill="FFFFFF"/>
        </w:rPr>
        <w:t>等内设科室</w:t>
      </w:r>
      <w:r>
        <w:rPr>
          <w:rFonts w:ascii="Arial" w:hAnsi="Arial" w:eastAsia="宋体" w:cs="Arial"/>
          <w:color w:val="000000"/>
          <w:sz w:val="27"/>
          <w:szCs w:val="27"/>
          <w:shd w:val="clear" w:color="auto" w:fill="FFFFFF"/>
        </w:rPr>
        <w:t>。</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2、编制情况：下陆区人力资源和社会保障局核定编制数为3名，其中行政编3名，事业编制0名。2021年年末在职在编人员3人，区聘</w:t>
      </w:r>
      <w:r>
        <w:rPr>
          <w:rFonts w:hint="eastAsia" w:ascii="Arial" w:hAnsi="Arial" w:eastAsia="宋体" w:cs="Arial"/>
          <w:color w:val="000000"/>
          <w:sz w:val="27"/>
          <w:szCs w:val="27"/>
          <w:shd w:val="clear" w:color="auto" w:fill="FFFFFF"/>
        </w:rPr>
        <w:t>0</w:t>
      </w:r>
      <w:r>
        <w:rPr>
          <w:rFonts w:ascii="Arial" w:hAnsi="Arial" w:eastAsia="宋体" w:cs="Arial"/>
          <w:color w:val="000000"/>
          <w:sz w:val="27"/>
          <w:szCs w:val="27"/>
          <w:shd w:val="clear" w:color="auto" w:fill="FFFFFF"/>
        </w:rPr>
        <w:t>人，退伍安置</w:t>
      </w:r>
      <w:r>
        <w:rPr>
          <w:rFonts w:hint="eastAsia" w:ascii="Arial" w:hAnsi="Arial" w:eastAsia="宋体" w:cs="Arial"/>
          <w:color w:val="000000"/>
          <w:sz w:val="27"/>
          <w:szCs w:val="27"/>
          <w:shd w:val="clear" w:color="auto" w:fill="FFFFFF"/>
        </w:rPr>
        <w:t>0</w:t>
      </w:r>
      <w:r>
        <w:rPr>
          <w:rFonts w:ascii="Arial" w:hAnsi="Arial" w:eastAsia="宋体" w:cs="Arial"/>
          <w:color w:val="000000"/>
          <w:sz w:val="27"/>
          <w:szCs w:val="27"/>
          <w:shd w:val="clear" w:color="auto" w:fill="FFFFFF"/>
        </w:rPr>
        <w:t>人，政府雇员1人，退休人员7人（已全部转入机关事业单位养老保险发放养老金）。</w:t>
      </w:r>
      <w:r>
        <w:rPr>
          <w:rFonts w:ascii="Arial" w:hAnsi="Arial" w:eastAsia="宋体" w:cs="Arial"/>
          <w:color w:val="000000"/>
          <w:sz w:val="27"/>
          <w:szCs w:val="27"/>
          <w:shd w:val="clear" w:color="auto" w:fill="FFFFFF"/>
        </w:rPr>
        <w:br w:type="textWrapping"/>
      </w:r>
      <w:r>
        <w:rPr>
          <w:rStyle w:val="8"/>
          <w:rFonts w:hint="eastAsia" w:ascii="Arial" w:hAnsi="Arial" w:eastAsia="宋体" w:cs="Arial"/>
          <w:color w:val="000000"/>
          <w:sz w:val="27"/>
          <w:szCs w:val="27"/>
          <w:shd w:val="clear" w:color="auto" w:fill="FFFFFF"/>
        </w:rPr>
        <w:t>第二部分: 部门2021年部门决算表</w:t>
      </w:r>
      <w:r>
        <w:rPr>
          <w:rFonts w:ascii="宋体" w:hAnsi="宋体" w:eastAsia="宋体" w:cs="宋体"/>
          <w:kern w:val="0"/>
          <w:szCs w:val="21"/>
        </w:rPr>
        <w:br w:type="textWrapping"/>
      </w:r>
      <w:r>
        <w:rPr>
          <w:rFonts w:ascii="宋体" w:hAnsi="宋体" w:eastAsia="宋体" w:cs="宋体"/>
          <w:kern w:val="0"/>
          <w:sz w:val="24"/>
          <w:szCs w:val="24"/>
          <w:lang w:val="en-US" w:eastAsia="zh-CN" w:bidi="ar"/>
        </w:rPr>
        <w:drawing>
          <wp:inline distT="0" distB="0" distL="114300" distR="114300">
            <wp:extent cx="5760085" cy="5831840"/>
            <wp:effectExtent l="0" t="0" r="12065" b="16510"/>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4"/>
                    <a:stretch>
                      <a:fillRect/>
                    </a:stretch>
                  </pic:blipFill>
                  <pic:spPr>
                    <a:xfrm>
                      <a:off x="0" y="0"/>
                      <a:ext cx="5760085" cy="5831840"/>
                    </a:xfrm>
                    <a:prstGeom prst="rect">
                      <a:avLst/>
                    </a:prstGeom>
                    <a:noFill/>
                    <a:ln w="9525">
                      <a:noFill/>
                    </a:ln>
                  </pic:spPr>
                </pic:pic>
              </a:graphicData>
            </a:graphic>
          </wp:inline>
        </w:drawing>
      </w:r>
    </w:p>
    <w:p w14:paraId="02D692B6">
      <w:pPr>
        <w:rPr>
          <w:rFonts w:ascii="宋体" w:hAnsi="宋体" w:eastAsia="宋体" w:cs="宋体"/>
          <w:kern w:val="0"/>
          <w:sz w:val="24"/>
        </w:rPr>
      </w:pPr>
    </w:p>
    <w:p w14:paraId="3BADB7B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508885"/>
            <wp:effectExtent l="0" t="0" r="12065" b="5715"/>
            <wp:docPr id="10"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56"/>
                    <pic:cNvPicPr>
                      <a:picLocks noChangeAspect="1"/>
                    </pic:cNvPicPr>
                  </pic:nvPicPr>
                  <pic:blipFill>
                    <a:blip r:embed="rId5"/>
                    <a:stretch>
                      <a:fillRect/>
                    </a:stretch>
                  </pic:blipFill>
                  <pic:spPr>
                    <a:xfrm>
                      <a:off x="0" y="0"/>
                      <a:ext cx="5760085" cy="2508885"/>
                    </a:xfrm>
                    <a:prstGeom prst="rect">
                      <a:avLst/>
                    </a:prstGeom>
                    <a:noFill/>
                    <a:ln w="9525">
                      <a:noFill/>
                    </a:ln>
                  </pic:spPr>
                </pic:pic>
              </a:graphicData>
            </a:graphic>
          </wp:inline>
        </w:drawing>
      </w:r>
    </w:p>
    <w:p w14:paraId="052A8C0F">
      <w:pPr>
        <w:rPr>
          <w:rFonts w:ascii="宋体" w:hAnsi="宋体" w:eastAsia="宋体" w:cs="宋体"/>
          <w:kern w:val="0"/>
          <w:sz w:val="24"/>
        </w:rPr>
      </w:pPr>
    </w:p>
    <w:p w14:paraId="1C4193EF">
      <w:pPr>
        <w:rPr>
          <w:rFonts w:ascii="Arial" w:hAnsi="Arial" w:eastAsia="宋体" w:cs="Arial"/>
          <w:color w:val="000000"/>
          <w:sz w:val="27"/>
          <w:szCs w:val="27"/>
          <w:shd w:val="clear" w:color="auto" w:fill="FFFFFF"/>
        </w:rPr>
      </w:pPr>
    </w:p>
    <w:p w14:paraId="17C8940E">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685415"/>
            <wp:effectExtent l="0" t="0" r="12065" b="635"/>
            <wp:docPr id="11"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56"/>
                    <pic:cNvPicPr>
                      <a:picLocks noChangeAspect="1"/>
                    </pic:cNvPicPr>
                  </pic:nvPicPr>
                  <pic:blipFill>
                    <a:blip r:embed="rId6"/>
                    <a:stretch>
                      <a:fillRect/>
                    </a:stretch>
                  </pic:blipFill>
                  <pic:spPr>
                    <a:xfrm>
                      <a:off x="0" y="0"/>
                      <a:ext cx="5760085" cy="2685415"/>
                    </a:xfrm>
                    <a:prstGeom prst="rect">
                      <a:avLst/>
                    </a:prstGeom>
                    <a:noFill/>
                    <a:ln w="9525">
                      <a:noFill/>
                    </a:ln>
                  </pic:spPr>
                </pic:pic>
              </a:graphicData>
            </a:graphic>
          </wp:inline>
        </w:drawing>
      </w:r>
    </w:p>
    <w:p w14:paraId="794A3035">
      <w:pPr>
        <w:widowControl/>
        <w:jc w:val="left"/>
        <w:rPr>
          <w:rFonts w:ascii="宋体" w:hAnsi="宋体" w:eastAsia="宋体" w:cs="宋体"/>
          <w:kern w:val="0"/>
          <w:sz w:val="24"/>
        </w:rPr>
      </w:pPr>
    </w:p>
    <w:p w14:paraId="45A09532">
      <w:pPr>
        <w:rPr>
          <w:rFonts w:ascii="Arial" w:hAnsi="Arial" w:eastAsia="宋体" w:cs="Arial"/>
          <w:color w:val="000000"/>
          <w:sz w:val="27"/>
          <w:szCs w:val="27"/>
          <w:shd w:val="clear" w:color="auto" w:fill="FFFFFF"/>
        </w:rPr>
      </w:pPr>
    </w:p>
    <w:p w14:paraId="0BC1CA87">
      <w:pPr>
        <w:rPr>
          <w:rFonts w:ascii="Arial" w:hAnsi="Arial" w:eastAsia="宋体" w:cs="Arial"/>
          <w:color w:val="000000"/>
          <w:sz w:val="27"/>
          <w:szCs w:val="27"/>
          <w:shd w:val="clear" w:color="auto" w:fill="FFFFFF"/>
        </w:rPr>
      </w:pPr>
    </w:p>
    <w:p w14:paraId="0DB0D09A">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5651500" cy="6666865"/>
            <wp:effectExtent l="19050" t="0" r="5850" b="0"/>
            <wp:docPr id="14" name="图片 13" descr="C:\Users\Administrator\AppData\Roaming\Tencent\Users\376482111\QQ\WinTemp\RichOle\%TTMTL5K_U$MNXCEI92$W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C:\Users\Administrator\AppData\Roaming\Tencent\Users\376482111\QQ\WinTemp\RichOle\%TTMTL5K_U$MNXCEI92$WK2.png"/>
                    <pic:cNvPicPr>
                      <a:picLocks noChangeAspect="1" noChangeArrowheads="1"/>
                    </pic:cNvPicPr>
                  </pic:nvPicPr>
                  <pic:blipFill>
                    <a:blip r:embed="rId7" cstate="print"/>
                    <a:srcRect/>
                    <a:stretch>
                      <a:fillRect/>
                    </a:stretch>
                  </pic:blipFill>
                  <pic:spPr>
                    <a:xfrm>
                      <a:off x="0" y="0"/>
                      <a:ext cx="5652000" cy="6667018"/>
                    </a:xfrm>
                    <a:prstGeom prst="rect">
                      <a:avLst/>
                    </a:prstGeom>
                    <a:noFill/>
                    <a:ln w="9525">
                      <a:noFill/>
                      <a:miter lim="800000"/>
                      <a:headEnd/>
                      <a:tailEnd/>
                    </a:ln>
                  </pic:spPr>
                </pic:pic>
              </a:graphicData>
            </a:graphic>
          </wp:inline>
        </w:drawing>
      </w:r>
    </w:p>
    <w:p w14:paraId="2EA1989D">
      <w:pPr>
        <w:rPr>
          <w:rFonts w:ascii="Arial" w:hAnsi="Arial" w:eastAsia="宋体" w:cs="Arial"/>
          <w:color w:val="000000"/>
          <w:sz w:val="27"/>
          <w:szCs w:val="27"/>
          <w:shd w:val="clear" w:color="auto" w:fill="FFFFFF"/>
        </w:rPr>
      </w:pPr>
    </w:p>
    <w:p w14:paraId="16A6DB4E">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858135"/>
            <wp:effectExtent l="0" t="0" r="12065" b="18415"/>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8"/>
                    <a:stretch>
                      <a:fillRect/>
                    </a:stretch>
                  </pic:blipFill>
                  <pic:spPr>
                    <a:xfrm>
                      <a:off x="0" y="0"/>
                      <a:ext cx="5760085" cy="2858135"/>
                    </a:xfrm>
                    <a:prstGeom prst="rect">
                      <a:avLst/>
                    </a:prstGeom>
                    <a:noFill/>
                    <a:ln w="9525">
                      <a:noFill/>
                    </a:ln>
                  </pic:spPr>
                </pic:pic>
              </a:graphicData>
            </a:graphic>
          </wp:inline>
        </w:drawing>
      </w:r>
    </w:p>
    <w:p w14:paraId="0B13C584">
      <w:pPr>
        <w:rPr>
          <w:rFonts w:ascii="Arial" w:hAnsi="Arial" w:eastAsia="宋体" w:cs="Arial"/>
          <w:color w:val="000000"/>
          <w:sz w:val="27"/>
          <w:szCs w:val="27"/>
          <w:shd w:val="clear" w:color="auto" w:fill="FFFFFF"/>
        </w:rPr>
      </w:pPr>
    </w:p>
    <w:p w14:paraId="7AC1B7FC">
      <w:pPr>
        <w:rPr>
          <w:rFonts w:ascii="Arial" w:hAnsi="Arial" w:eastAsia="宋体" w:cs="Arial"/>
          <w:color w:val="000000"/>
          <w:sz w:val="27"/>
          <w:szCs w:val="27"/>
          <w:shd w:val="clear" w:color="auto" w:fill="FFFFFF"/>
        </w:rPr>
      </w:pPr>
    </w:p>
    <w:p w14:paraId="477F2BB4">
      <w:pPr>
        <w:rPr>
          <w:rFonts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drawing>
          <wp:inline distT="0" distB="0" distL="0" distR="0">
            <wp:extent cx="5652135" cy="4732655"/>
            <wp:effectExtent l="19050" t="0" r="5715" b="0"/>
            <wp:docPr id="2" name="图片 2" descr="F:\公开\2021年决算公开\20230818根据财政要求修改\公开表\人社局截图\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公开\2021年决算公开\20230818根据财政要求修改\公开表\人社局截图\6.png"/>
                    <pic:cNvPicPr>
                      <a:picLocks noChangeAspect="1" noChangeArrowheads="1"/>
                    </pic:cNvPicPr>
                  </pic:nvPicPr>
                  <pic:blipFill>
                    <a:blip r:embed="rId9" cstate="print"/>
                    <a:srcRect/>
                    <a:stretch>
                      <a:fillRect/>
                    </a:stretch>
                  </pic:blipFill>
                  <pic:spPr>
                    <a:xfrm>
                      <a:off x="0" y="0"/>
                      <a:ext cx="5652135" cy="4732728"/>
                    </a:xfrm>
                    <a:prstGeom prst="rect">
                      <a:avLst/>
                    </a:prstGeom>
                    <a:noFill/>
                    <a:ln w="9525">
                      <a:noFill/>
                      <a:miter lim="800000"/>
                      <a:headEnd/>
                      <a:tailEnd/>
                    </a:ln>
                  </pic:spPr>
                </pic:pic>
              </a:graphicData>
            </a:graphic>
          </wp:inline>
        </w:drawing>
      </w:r>
    </w:p>
    <w:p w14:paraId="2D77353A">
      <w:pPr>
        <w:rPr>
          <w:rFonts w:ascii="Arial" w:hAnsi="Arial" w:eastAsia="宋体" w:cs="Arial"/>
          <w:color w:val="000000"/>
          <w:sz w:val="27"/>
          <w:szCs w:val="27"/>
          <w:shd w:val="clear" w:color="auto" w:fill="FFFFFF"/>
        </w:rPr>
      </w:pPr>
    </w:p>
    <w:p w14:paraId="35E72A2C">
      <w:pPr>
        <w:rPr>
          <w:rFonts w:ascii="Arial" w:hAnsi="Arial" w:eastAsia="宋体" w:cs="Arial"/>
          <w:color w:val="000000"/>
          <w:sz w:val="27"/>
          <w:szCs w:val="27"/>
          <w:shd w:val="clear" w:color="auto" w:fill="FFFFFF"/>
        </w:rPr>
      </w:pPr>
    </w:p>
    <w:p w14:paraId="14D7D214">
      <w:pPr>
        <w:rPr>
          <w:rFonts w:ascii="Arial" w:hAnsi="Arial" w:eastAsia="宋体" w:cs="Arial"/>
          <w:color w:val="000000"/>
          <w:sz w:val="27"/>
          <w:szCs w:val="27"/>
          <w:shd w:val="clear" w:color="auto" w:fill="FFFFFF"/>
        </w:rPr>
      </w:pPr>
    </w:p>
    <w:p w14:paraId="3662F34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580515"/>
            <wp:effectExtent l="0" t="0" r="12065" b="635"/>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10"/>
                    <a:stretch>
                      <a:fillRect/>
                    </a:stretch>
                  </pic:blipFill>
                  <pic:spPr>
                    <a:xfrm>
                      <a:off x="0" y="0"/>
                      <a:ext cx="5760085" cy="1580515"/>
                    </a:xfrm>
                    <a:prstGeom prst="rect">
                      <a:avLst/>
                    </a:prstGeom>
                    <a:noFill/>
                    <a:ln w="9525">
                      <a:noFill/>
                    </a:ln>
                  </pic:spPr>
                </pic:pic>
              </a:graphicData>
            </a:graphic>
          </wp:inline>
        </w:drawing>
      </w:r>
    </w:p>
    <w:p w14:paraId="1085CE46">
      <w:pPr>
        <w:keepNext w:val="0"/>
        <w:keepLines w:val="0"/>
        <w:widowControl/>
        <w:suppressLineNumbers w:val="0"/>
        <w:jc w:val="left"/>
      </w:pPr>
    </w:p>
    <w:p w14:paraId="6BDDCE19">
      <w:pPr>
        <w:rPr>
          <w:rFonts w:ascii="Arial" w:hAnsi="Arial" w:eastAsia="宋体" w:cs="Arial"/>
          <w:color w:val="000000"/>
          <w:sz w:val="27"/>
          <w:szCs w:val="27"/>
          <w:shd w:val="clear" w:color="auto" w:fill="FFFFFF"/>
        </w:rPr>
      </w:pPr>
    </w:p>
    <w:p w14:paraId="68AD732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824990"/>
            <wp:effectExtent l="0" t="0" r="12065" b="381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1"/>
                    <a:stretch>
                      <a:fillRect/>
                    </a:stretch>
                  </pic:blipFill>
                  <pic:spPr>
                    <a:xfrm>
                      <a:off x="0" y="0"/>
                      <a:ext cx="5760085" cy="1824990"/>
                    </a:xfrm>
                    <a:prstGeom prst="rect">
                      <a:avLst/>
                    </a:prstGeom>
                    <a:noFill/>
                    <a:ln w="9525">
                      <a:noFill/>
                    </a:ln>
                  </pic:spPr>
                </pic:pic>
              </a:graphicData>
            </a:graphic>
          </wp:inline>
        </w:drawing>
      </w:r>
    </w:p>
    <w:p w14:paraId="6627FFC8">
      <w:pPr>
        <w:widowControl/>
        <w:jc w:val="left"/>
        <w:rPr>
          <w:rFonts w:ascii="宋体" w:hAnsi="宋体" w:eastAsia="宋体" w:cs="宋体"/>
          <w:kern w:val="0"/>
          <w:sz w:val="24"/>
        </w:rPr>
      </w:pPr>
    </w:p>
    <w:p w14:paraId="1702A41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195830"/>
            <wp:effectExtent l="0" t="0" r="12065" b="1397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2"/>
                    <a:stretch>
                      <a:fillRect/>
                    </a:stretch>
                  </pic:blipFill>
                  <pic:spPr>
                    <a:xfrm>
                      <a:off x="0" y="0"/>
                      <a:ext cx="5760085" cy="2195830"/>
                    </a:xfrm>
                    <a:prstGeom prst="rect">
                      <a:avLst/>
                    </a:prstGeom>
                    <a:noFill/>
                    <a:ln w="9525">
                      <a:noFill/>
                    </a:ln>
                  </pic:spPr>
                </pic:pic>
              </a:graphicData>
            </a:graphic>
          </wp:inline>
        </w:drawing>
      </w:r>
    </w:p>
    <w:p w14:paraId="5209C7BD">
      <w:pPr>
        <w:rPr>
          <w:rFonts w:ascii="Arial" w:hAnsi="Arial" w:eastAsia="宋体" w:cs="Arial"/>
          <w:color w:val="000000"/>
          <w:sz w:val="27"/>
          <w:szCs w:val="27"/>
          <w:shd w:val="clear" w:color="auto" w:fill="FFFFFF"/>
        </w:rPr>
      </w:pPr>
    </w:p>
    <w:p w14:paraId="2758D60D">
      <w:pPr>
        <w:widowControl/>
        <w:jc w:val="left"/>
        <w:rPr>
          <w:rFonts w:ascii="宋体" w:hAnsi="宋体" w:eastAsia="宋体" w:cs="宋体"/>
          <w:kern w:val="0"/>
          <w:sz w:val="24"/>
        </w:rPr>
      </w:pPr>
    </w:p>
    <w:p w14:paraId="2E7E9FB8">
      <w:pPr>
        <w:rPr>
          <w:rFonts w:ascii="Arial" w:hAnsi="Arial" w:eastAsia="宋体" w:cs="Arial"/>
          <w:color w:val="000000"/>
          <w:sz w:val="27"/>
          <w:szCs w:val="27"/>
          <w:shd w:val="clear" w:color="auto" w:fill="FFFFFF"/>
        </w:rPr>
      </w:pPr>
      <w:r>
        <w:rPr>
          <w:rStyle w:val="8"/>
          <w:rFonts w:hint="eastAsia" w:ascii="Arial" w:hAnsi="Arial" w:eastAsia="宋体" w:cs="Arial"/>
          <w:color w:val="000000"/>
          <w:sz w:val="27"/>
          <w:szCs w:val="27"/>
          <w:shd w:val="clear" w:color="auto" w:fill="FFFFFF"/>
        </w:rPr>
        <w:t>第三部分：部门2021年部门决算情况说明</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一、收支总体情况说明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下陆区人力资源和社会保障局2021年度决算总收入合计404.58万元，其中：财政拨款收入284.58万元，占总收入的70.34%；其他收入120万元，占总收入的29.66%。</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2021年度决算总支出合计386.34万元，其中：基本支出274.69万元，占总支出的71.1%，项目支出111.64元，占总支出的28.9%。</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二、2021年度决算收入支出增减变化情况</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下陆区人力资源和社会保障局2021年度决算收入合计404.58万元，与上年决算数445.66万元相比，减少41.08万元，主要原因是：202</w:t>
      </w:r>
      <w:r>
        <w:rPr>
          <w:rFonts w:hint="eastAsia" w:ascii="Arial" w:hAnsi="Arial" w:eastAsia="宋体" w:cs="Arial"/>
          <w:color w:val="000000"/>
          <w:sz w:val="27"/>
          <w:szCs w:val="27"/>
          <w:shd w:val="clear" w:color="auto" w:fill="FFFFFF"/>
        </w:rPr>
        <w:t>0</w:t>
      </w:r>
      <w:r>
        <w:rPr>
          <w:rFonts w:ascii="Arial" w:hAnsi="Arial" w:eastAsia="宋体" w:cs="Arial"/>
          <w:color w:val="000000"/>
          <w:sz w:val="27"/>
          <w:szCs w:val="27"/>
          <w:shd w:val="clear" w:color="auto" w:fill="FFFFFF"/>
        </w:rPr>
        <w:t>年财政将人力资源和社会保障局、下陆区公共就业和社会保险服务中心两家单位的经费全部并入到人力资源和社会保障局。与年初预算195.71</w:t>
      </w:r>
      <w:r>
        <w:rPr>
          <w:rFonts w:hint="eastAsia" w:ascii="Arial" w:hAnsi="Arial" w:eastAsia="宋体" w:cs="Arial"/>
          <w:color w:val="000000"/>
          <w:sz w:val="27"/>
          <w:szCs w:val="27"/>
          <w:shd w:val="clear" w:color="auto" w:fill="FFFFFF"/>
        </w:rPr>
        <w:t>万元</w:t>
      </w:r>
      <w:r>
        <w:rPr>
          <w:rFonts w:ascii="Arial" w:hAnsi="Arial" w:eastAsia="宋体" w:cs="Arial"/>
          <w:color w:val="000000"/>
          <w:sz w:val="27"/>
          <w:szCs w:val="27"/>
          <w:shd w:val="clear" w:color="auto" w:fill="FFFFFF"/>
        </w:rPr>
        <w:t>相比，增加208.87万元，主要原因是</w:t>
      </w:r>
      <w:r>
        <w:rPr>
          <w:rFonts w:hint="eastAsia" w:ascii="Arial" w:hAnsi="Arial" w:eastAsia="宋体" w:cs="Arial"/>
          <w:color w:val="000000"/>
          <w:sz w:val="27"/>
          <w:szCs w:val="27"/>
          <w:shd w:val="clear" w:color="auto" w:fill="FFFFFF"/>
        </w:rPr>
        <w:t>今年增加了人社工作经费120万元、干部招录经费70万元</w:t>
      </w:r>
      <w:r>
        <w:rPr>
          <w:rFonts w:ascii="Arial" w:hAnsi="Arial" w:eastAsia="宋体" w:cs="Arial"/>
          <w:color w:val="000000"/>
          <w:sz w:val="27"/>
          <w:szCs w:val="27"/>
          <w:shd w:val="clear" w:color="auto" w:fill="FFFFFF"/>
        </w:rPr>
        <w:t>。</w:t>
      </w:r>
    </w:p>
    <w:p w14:paraId="40BBAF19">
      <w:pPr>
        <w:ind w:firstLine="540" w:firstLineChars="200"/>
        <w:rPr>
          <w:rFonts w:hint="eastAsia"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t>本单位2021年度支出386.34万元，与上年决算数414.2相比，减少27.86万元，主要原因是：202</w:t>
      </w:r>
      <w:r>
        <w:rPr>
          <w:rFonts w:hint="eastAsia" w:ascii="Arial" w:hAnsi="Arial" w:eastAsia="宋体" w:cs="Arial"/>
          <w:color w:val="000000"/>
          <w:sz w:val="27"/>
          <w:szCs w:val="27"/>
          <w:shd w:val="clear" w:color="auto" w:fill="FFFFFF"/>
        </w:rPr>
        <w:t>0</w:t>
      </w:r>
      <w:r>
        <w:rPr>
          <w:rFonts w:ascii="Arial" w:hAnsi="Arial" w:eastAsia="宋体" w:cs="Arial"/>
          <w:color w:val="000000"/>
          <w:sz w:val="27"/>
          <w:szCs w:val="27"/>
          <w:shd w:val="clear" w:color="auto" w:fill="FFFFFF"/>
        </w:rPr>
        <w:t>年财政将人力资源和社会保障局、下陆区公共就业和社会保险服务中心两家单位的经费全部并入到人力资源和社会保障局。与年初预算195.71相比，增加190.63万元，主要原因是：是</w:t>
      </w:r>
      <w:r>
        <w:rPr>
          <w:rFonts w:hint="eastAsia" w:ascii="Arial" w:hAnsi="Arial" w:eastAsia="宋体" w:cs="Arial"/>
          <w:color w:val="000000"/>
          <w:sz w:val="27"/>
          <w:szCs w:val="27"/>
          <w:shd w:val="clear" w:color="auto" w:fill="FFFFFF"/>
        </w:rPr>
        <w:t>今年增加了人社工作经费120万元、干部招录经费70万元</w:t>
      </w:r>
      <w:r>
        <w:rPr>
          <w:rFonts w:ascii="Arial" w:hAnsi="Arial" w:eastAsia="宋体" w:cs="Arial"/>
          <w:color w:val="000000"/>
          <w:sz w:val="27"/>
          <w:szCs w:val="27"/>
          <w:shd w:val="clear" w:color="auto" w:fill="FFFFFF"/>
        </w:rPr>
        <w:t>。</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w:t>
      </w:r>
      <w:r>
        <w:rPr>
          <w:rStyle w:val="8"/>
          <w:rFonts w:ascii="Arial" w:hAnsi="Arial" w:eastAsia="宋体" w:cs="Arial"/>
          <w:color w:val="000000"/>
          <w:sz w:val="27"/>
          <w:szCs w:val="27"/>
          <w:shd w:val="clear" w:color="auto" w:fill="FFFFFF"/>
        </w:rPr>
        <w:t>、2021年财政拨款收入支出决算情况说明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下陆区人力资源和社会保障局2021年财政拨款收入总计284.58万元，年初结转结余0万元，其中：一般公共预算拨款284.58万元，年初结转结余0万元；</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2021年财政拨款支出总计284.58万元，</w:t>
      </w:r>
      <w:r>
        <w:rPr>
          <w:rFonts w:hint="eastAsia" w:ascii="宋体" w:hAnsi="宋体" w:eastAsia="宋体" w:cs="宋体"/>
          <w:color w:val="000000"/>
          <w:kern w:val="0"/>
          <w:sz w:val="28"/>
          <w:szCs w:val="28"/>
        </w:rPr>
        <w:t>与</w:t>
      </w:r>
      <w:r>
        <w:rPr>
          <w:rFonts w:ascii="宋体" w:hAnsi="宋体" w:eastAsia="宋体" w:cs="宋体"/>
          <w:color w:val="000000"/>
          <w:kern w:val="0"/>
          <w:sz w:val="28"/>
          <w:szCs w:val="28"/>
        </w:rPr>
        <w:t>年初预算数</w:t>
      </w:r>
      <w:r>
        <w:rPr>
          <w:rFonts w:hint="eastAsia" w:ascii="宋体" w:hAnsi="宋体" w:eastAsia="宋体" w:cs="宋体"/>
          <w:color w:val="000000"/>
          <w:kern w:val="0"/>
          <w:sz w:val="28"/>
          <w:szCs w:val="28"/>
        </w:rPr>
        <w:t>195.71</w:t>
      </w:r>
      <w:r>
        <w:rPr>
          <w:rFonts w:ascii="宋体" w:hAnsi="宋体" w:eastAsia="宋体" w:cs="宋体"/>
          <w:color w:val="000000"/>
          <w:kern w:val="0"/>
          <w:sz w:val="28"/>
          <w:szCs w:val="28"/>
        </w:rPr>
        <w:t>万元</w:t>
      </w:r>
      <w:r>
        <w:rPr>
          <w:rFonts w:hint="eastAsia" w:ascii="宋体" w:hAnsi="宋体" w:eastAsia="宋体" w:cs="宋体"/>
          <w:color w:val="000000"/>
          <w:kern w:val="0"/>
          <w:sz w:val="28"/>
          <w:szCs w:val="28"/>
        </w:rPr>
        <w:t>相比增加88.87万元，主要原因是单位人员增加，人员工资、社保、公积金支出增加88.87万元；与上年决算数414.2万元相比减少129.62万元，原因是</w:t>
      </w:r>
      <w:r>
        <w:rPr>
          <w:rFonts w:ascii="Arial" w:hAnsi="Arial" w:eastAsia="宋体" w:cs="Arial"/>
          <w:color w:val="000000"/>
          <w:sz w:val="27"/>
          <w:szCs w:val="27"/>
          <w:shd w:val="clear" w:color="auto" w:fill="FFFFFF"/>
        </w:rPr>
        <w:t>202</w:t>
      </w:r>
      <w:r>
        <w:rPr>
          <w:rFonts w:hint="eastAsia" w:ascii="Arial" w:hAnsi="Arial" w:eastAsia="宋体" w:cs="Arial"/>
          <w:color w:val="000000"/>
          <w:sz w:val="27"/>
          <w:szCs w:val="27"/>
          <w:shd w:val="clear" w:color="auto" w:fill="FFFFFF"/>
        </w:rPr>
        <w:t>0</w:t>
      </w:r>
      <w:r>
        <w:rPr>
          <w:rFonts w:ascii="Arial" w:hAnsi="Arial" w:eastAsia="宋体" w:cs="Arial"/>
          <w:color w:val="000000"/>
          <w:sz w:val="27"/>
          <w:szCs w:val="27"/>
          <w:shd w:val="clear" w:color="auto" w:fill="FFFFFF"/>
        </w:rPr>
        <w:t>年财政将人力资源和社会保障局、下陆区公共就业和社会保险服务中心两家单位的经费全部并入到人力资源和社会保障局。按支出性质分类：基本支出172.94万元，项目支出111.64万元。年末财政拨款结转和结余0万元。其中：一般公共预算拨款284.58万元，年末财政拨款结转和结余0万元。</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四、2021年一般公共预算财政拨款支出决算情况说明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下陆区人力资源和社会保障局2021年一般公共预算财政拨款支出决算数为284.58万元，与年初预算数为195.71万元相比增加88.87万元，其中：一般公共预算财政拨款增加88.87万元。</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按支出功能分类，社会保障和就业支出284.58万元，较上年减少129.62万元，降幅31.29%。</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五、2021年一般公共预算财政拨款基本支出决算情况说明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人力资源和社会保障局2021年一般公共预算财政拨款基本支出172.93万元，较上年减少142.11万元，降幅45.11%。其中，人员经费支出109.48万元，较上年减少136.39万元，降幅55.47%。人员经费主要包括：基本工资、津贴补贴、奖金、社会保险缴费、离退休费、医疗费、住房公积金、职业年金、机关事业单位养老保险等支出。日常公用经费支出6万元，较上年减少8.96万元，降幅59.89%。日常公用经费主要包括：办公费、印刷费、水费、电费、邮电费、物业管理费、差旅费、维修（护）费、租赁费、会议费、培训费、公务接待费、劳务费、工会经费、福利费、其他交通费、其他商品和服务支出、办公设备购置等。</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六、一般公共预算财政拨款“三公”经费支出决算情况说明</w:t>
      </w:r>
      <w:r>
        <w:rPr>
          <w:rFonts w:ascii="Arial" w:hAnsi="Arial" w:eastAsia="宋体" w:cs="Arial"/>
          <w:color w:val="000000"/>
          <w:sz w:val="27"/>
          <w:szCs w:val="27"/>
          <w:shd w:val="clear" w:color="auto" w:fill="FFFFFF"/>
        </w:rPr>
        <w:br w:type="textWrapping"/>
      </w:r>
      <w:r>
        <w:rPr>
          <w:rFonts w:ascii="Arial" w:hAnsi="Arial" w:eastAsia="宋体" w:cs="Arial"/>
          <w:color w:val="auto"/>
          <w:sz w:val="27"/>
          <w:szCs w:val="27"/>
          <w:shd w:val="clear" w:color="auto" w:fill="FFFFFF"/>
        </w:rPr>
        <w:t>2021年度“三公”经费支出决算数为0.23万元，与2020年支出决算数0万元相比增加0.23万元</w:t>
      </w:r>
      <w:r>
        <w:rPr>
          <w:rFonts w:hint="eastAsia" w:ascii="Arial" w:hAnsi="Arial" w:eastAsia="宋体" w:cs="Arial"/>
          <w:color w:val="auto"/>
          <w:sz w:val="27"/>
          <w:szCs w:val="27"/>
          <w:shd w:val="clear" w:color="auto" w:fill="FFFFFF"/>
        </w:rPr>
        <w:t>，</w:t>
      </w:r>
      <w:r>
        <w:rPr>
          <w:rFonts w:ascii="Arial" w:hAnsi="Arial" w:eastAsia="宋体" w:cs="Arial"/>
          <w:color w:val="auto"/>
          <w:kern w:val="0"/>
          <w:sz w:val="27"/>
          <w:szCs w:val="27"/>
        </w:rPr>
        <w:t>增幅100%。</w:t>
      </w:r>
      <w:r>
        <w:rPr>
          <w:rFonts w:hint="eastAsia" w:ascii="Arial" w:hAnsi="Arial" w:eastAsia="宋体" w:cs="Arial"/>
          <w:color w:val="auto"/>
          <w:kern w:val="0"/>
          <w:sz w:val="27"/>
          <w:szCs w:val="27"/>
        </w:rPr>
        <w:t>原因是</w:t>
      </w:r>
      <w:r>
        <w:rPr>
          <w:rFonts w:ascii="Arial" w:hAnsi="Arial" w:eastAsia="宋体" w:cs="Arial"/>
          <w:color w:val="auto"/>
          <w:sz w:val="27"/>
          <w:szCs w:val="27"/>
          <w:shd w:val="clear" w:color="auto" w:fill="FFFFFF"/>
        </w:rPr>
        <w:t>上级来黄检查招待</w:t>
      </w:r>
      <w:r>
        <w:rPr>
          <w:rFonts w:hint="eastAsia" w:ascii="Arial" w:hAnsi="Arial" w:eastAsia="宋体" w:cs="Arial"/>
          <w:color w:val="auto"/>
          <w:kern w:val="0"/>
          <w:sz w:val="27"/>
          <w:szCs w:val="27"/>
        </w:rPr>
        <w:t>用餐。</w:t>
      </w:r>
      <w:r>
        <w:rPr>
          <w:rFonts w:ascii="Arial" w:hAnsi="Arial" w:eastAsia="宋体" w:cs="Arial"/>
          <w:color w:val="auto"/>
          <w:sz w:val="27"/>
          <w:szCs w:val="27"/>
          <w:shd w:val="clear" w:color="auto" w:fill="FFFFFF"/>
        </w:rPr>
        <w:t>与2021年预算0.4万元相比减少0.17万元</w:t>
      </w:r>
      <w:r>
        <w:rPr>
          <w:rFonts w:ascii="Arial" w:hAnsi="Arial" w:eastAsia="宋体" w:cs="Arial"/>
          <w:color w:val="auto"/>
          <w:kern w:val="0"/>
          <w:sz w:val="27"/>
          <w:szCs w:val="27"/>
        </w:rPr>
        <w:t>，系</w:t>
      </w:r>
      <w:r>
        <w:rPr>
          <w:rFonts w:hint="eastAsia" w:ascii="Arial" w:hAnsi="Arial" w:eastAsia="宋体" w:cs="Arial"/>
          <w:color w:val="auto"/>
          <w:kern w:val="0"/>
          <w:sz w:val="27"/>
          <w:szCs w:val="27"/>
          <w:lang w:eastAsia="zh-CN"/>
        </w:rPr>
        <w:t>单位</w:t>
      </w:r>
      <w:r>
        <w:rPr>
          <w:rFonts w:ascii="Arial" w:hAnsi="Arial" w:eastAsia="宋体" w:cs="Arial"/>
          <w:color w:val="auto"/>
          <w:kern w:val="0"/>
          <w:sz w:val="27"/>
          <w:szCs w:val="27"/>
        </w:rPr>
        <w:t>严格控制公务接待支出。其中:</w:t>
      </w:r>
      <w:r>
        <w:rPr>
          <w:rFonts w:ascii="Arial" w:hAnsi="Arial" w:eastAsia="宋体" w:cs="Arial"/>
          <w:color w:val="auto"/>
          <w:kern w:val="0"/>
          <w:sz w:val="27"/>
          <w:szCs w:val="27"/>
        </w:rPr>
        <w:br w:type="textWrapping"/>
      </w:r>
      <w:r>
        <w:rPr>
          <w:rFonts w:ascii="Arial" w:hAnsi="Arial" w:eastAsia="宋体" w:cs="Arial"/>
          <w:color w:val="auto"/>
          <w:kern w:val="0"/>
          <w:sz w:val="27"/>
          <w:szCs w:val="27"/>
        </w:rPr>
        <w:t>1、</w:t>
      </w:r>
      <w:r>
        <w:rPr>
          <w:rFonts w:ascii="宋体" w:hAnsi="宋体" w:eastAsia="宋体" w:cs="宋体"/>
          <w:color w:val="auto"/>
          <w:kern w:val="0"/>
          <w:sz w:val="28"/>
          <w:szCs w:val="28"/>
        </w:rPr>
        <w:t>因公出国（境）费用支出决算为0万元，</w:t>
      </w:r>
      <w:r>
        <w:rPr>
          <w:rFonts w:hint="eastAsia" w:ascii="宋体" w:hAnsi="宋体" w:eastAsia="宋体" w:cs="宋体"/>
          <w:color w:val="auto"/>
          <w:kern w:val="0"/>
          <w:sz w:val="28"/>
          <w:szCs w:val="28"/>
        </w:rPr>
        <w:t>,团组数为0组，人数为0人</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w:t>
      </w:r>
      <w:r>
        <w:rPr>
          <w:rFonts w:hint="eastAsia" w:ascii="宋体" w:hAnsi="宋体" w:eastAsia="宋体" w:cs="宋体"/>
          <w:color w:val="auto"/>
          <w:kern w:val="0"/>
          <w:sz w:val="28"/>
          <w:szCs w:val="28"/>
          <w:lang w:val="en-US" w:eastAsia="zh-CN"/>
        </w:rPr>
        <w:t>比</w:t>
      </w:r>
      <w:bookmarkStart w:id="0" w:name="_GoBack"/>
      <w:bookmarkEnd w:id="0"/>
      <w:r>
        <w:rPr>
          <w:rFonts w:hint="eastAsia" w:ascii="宋体" w:hAnsi="宋体" w:eastAsia="宋体" w:cs="宋体"/>
          <w:color w:val="auto"/>
          <w:kern w:val="0"/>
          <w:sz w:val="28"/>
          <w:szCs w:val="28"/>
        </w:rPr>
        <w:t>持平，原因是我单位无</w:t>
      </w:r>
      <w:r>
        <w:rPr>
          <w:rFonts w:ascii="宋体" w:hAnsi="宋体" w:eastAsia="宋体" w:cs="宋体"/>
          <w:color w:val="auto"/>
          <w:kern w:val="0"/>
          <w:sz w:val="28"/>
          <w:szCs w:val="28"/>
        </w:rPr>
        <w:t>因公出国（境）费用支出。与2021年预算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原因是我单位无</w:t>
      </w:r>
      <w:r>
        <w:rPr>
          <w:rFonts w:ascii="宋体" w:hAnsi="宋体" w:eastAsia="宋体" w:cs="宋体"/>
          <w:color w:val="auto"/>
          <w:kern w:val="0"/>
          <w:sz w:val="28"/>
          <w:szCs w:val="28"/>
        </w:rPr>
        <w:t>因公出国（境）费用支出</w:t>
      </w:r>
      <w:r>
        <w:rPr>
          <w:rFonts w:hint="eastAsia" w:ascii="宋体" w:hAnsi="宋体" w:eastAsia="宋体" w:cs="宋体"/>
          <w:color w:val="auto"/>
          <w:kern w:val="0"/>
          <w:sz w:val="28"/>
          <w:szCs w:val="28"/>
        </w:rPr>
        <w:t>。</w:t>
      </w:r>
      <w:r>
        <w:rPr>
          <w:rFonts w:ascii="Arial" w:hAnsi="Arial" w:eastAsia="宋体" w:cs="Arial"/>
          <w:color w:val="auto"/>
          <w:kern w:val="0"/>
          <w:sz w:val="27"/>
          <w:szCs w:val="27"/>
        </w:rPr>
        <w:br w:type="textWrapping"/>
      </w:r>
      <w:r>
        <w:rPr>
          <w:rFonts w:ascii="Arial" w:hAnsi="Arial" w:eastAsia="宋体" w:cs="Arial"/>
          <w:color w:val="auto"/>
          <w:kern w:val="0"/>
          <w:sz w:val="27"/>
          <w:szCs w:val="27"/>
        </w:rPr>
        <w:t>2、</w:t>
      </w:r>
      <w:r>
        <w:rPr>
          <w:rFonts w:ascii="宋体" w:hAnsi="宋体" w:eastAsia="宋体" w:cs="宋体"/>
          <w:color w:val="auto"/>
          <w:kern w:val="0"/>
          <w:sz w:val="28"/>
          <w:szCs w:val="28"/>
        </w:rPr>
        <w:t>2021年公务用车购置及运行维护费支出决算数为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持平，原因是单位公车改革后无公务用车。</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w:t>
      </w:r>
      <w:r>
        <w:rPr>
          <w:rFonts w:ascii="宋体" w:hAnsi="宋体" w:eastAsia="宋体" w:cs="宋体"/>
          <w:color w:val="auto"/>
          <w:kern w:val="0"/>
          <w:sz w:val="28"/>
          <w:szCs w:val="28"/>
        </w:rPr>
        <w:t>其中：</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（1）我单位</w:t>
      </w:r>
      <w:r>
        <w:rPr>
          <w:rFonts w:ascii="宋体" w:hAnsi="宋体" w:eastAsia="宋体" w:cs="宋体"/>
          <w:color w:val="auto"/>
          <w:kern w:val="0"/>
          <w:sz w:val="28"/>
          <w:szCs w:val="28"/>
        </w:rPr>
        <w:t>公务用车购置费为0万元，车型为：无 ，本年度公务用车购置数0辆</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公务用车保有量为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台</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持平，原因是我单位未购置车辆</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原因是我单位未购置车辆</w:t>
      </w:r>
      <w:r>
        <w:rPr>
          <w:rFonts w:ascii="宋体" w:hAnsi="宋体" w:eastAsia="宋体" w:cs="宋体"/>
          <w:color w:val="auto"/>
          <w:kern w:val="0"/>
          <w:sz w:val="28"/>
          <w:szCs w:val="28"/>
        </w:rPr>
        <w:t>。</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（2）</w:t>
      </w:r>
      <w:r>
        <w:rPr>
          <w:rFonts w:ascii="宋体" w:hAnsi="宋体" w:eastAsia="宋体" w:cs="宋体"/>
          <w:color w:val="auto"/>
          <w:kern w:val="0"/>
          <w:sz w:val="28"/>
          <w:szCs w:val="28"/>
        </w:rPr>
        <w:t>公务用车运行维护费</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相比持平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原因是单位公车改革后无公务用车。与2021年预算数0万元相比持平,原因</w:t>
      </w:r>
      <w:r>
        <w:rPr>
          <w:rFonts w:ascii="宋体" w:hAnsi="宋体" w:eastAsia="宋体" w:cs="宋体"/>
          <w:color w:val="auto"/>
          <w:kern w:val="0"/>
          <w:sz w:val="28"/>
          <w:szCs w:val="28"/>
        </w:rPr>
        <w:t>是</w:t>
      </w:r>
      <w:r>
        <w:rPr>
          <w:rFonts w:hint="eastAsia" w:ascii="宋体" w:hAnsi="宋体" w:eastAsia="宋体" w:cs="宋体"/>
          <w:color w:val="auto"/>
          <w:kern w:val="0"/>
          <w:sz w:val="28"/>
          <w:szCs w:val="28"/>
        </w:rPr>
        <w:t>单位公车改革后无公务用车。</w:t>
      </w:r>
      <w:r>
        <w:rPr>
          <w:rFonts w:ascii="Arial" w:hAnsi="Arial" w:eastAsia="宋体" w:cs="Arial"/>
          <w:color w:val="auto"/>
          <w:kern w:val="0"/>
          <w:sz w:val="27"/>
          <w:szCs w:val="27"/>
        </w:rPr>
        <w:br w:type="textWrapping"/>
      </w:r>
      <w:r>
        <w:rPr>
          <w:rFonts w:ascii="Arial" w:hAnsi="Arial" w:eastAsia="宋体" w:cs="Arial"/>
          <w:color w:val="auto"/>
          <w:sz w:val="27"/>
          <w:szCs w:val="27"/>
          <w:shd w:val="clear" w:color="auto" w:fill="FFFFFF"/>
        </w:rPr>
        <w:t>3、</w:t>
      </w:r>
      <w:r>
        <w:rPr>
          <w:rFonts w:ascii="宋体" w:hAnsi="宋体" w:eastAsia="宋体" w:cs="宋体"/>
          <w:color w:val="auto"/>
          <w:kern w:val="0"/>
          <w:sz w:val="28"/>
          <w:szCs w:val="28"/>
        </w:rPr>
        <w:t>公务接待支出决算数为</w:t>
      </w:r>
      <w:r>
        <w:rPr>
          <w:rFonts w:hint="eastAsia" w:ascii="宋体" w:hAnsi="宋体" w:eastAsia="宋体" w:cs="宋体"/>
          <w:color w:val="auto"/>
          <w:kern w:val="0"/>
          <w:sz w:val="28"/>
          <w:szCs w:val="28"/>
        </w:rPr>
        <w:t>0.23</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共接待</w:t>
      </w:r>
      <w:r>
        <w:rPr>
          <w:rFonts w:hint="eastAsia" w:ascii="宋体" w:hAnsi="宋体" w:eastAsia="宋体" w:cs="宋体"/>
          <w:color w:val="auto"/>
          <w:kern w:val="0"/>
          <w:sz w:val="28"/>
          <w:szCs w:val="28"/>
        </w:rPr>
        <w:t>1</w:t>
      </w:r>
      <w:r>
        <w:rPr>
          <w:rFonts w:ascii="宋体" w:hAnsi="宋体" w:eastAsia="宋体" w:cs="宋体"/>
          <w:color w:val="auto"/>
          <w:kern w:val="0"/>
          <w:sz w:val="28"/>
          <w:szCs w:val="28"/>
        </w:rPr>
        <w:t>批次</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16</w:t>
      </w:r>
      <w:r>
        <w:rPr>
          <w:rFonts w:ascii="宋体" w:hAnsi="宋体" w:eastAsia="宋体" w:cs="宋体"/>
          <w:color w:val="auto"/>
          <w:kern w:val="0"/>
          <w:sz w:val="28"/>
          <w:szCs w:val="28"/>
        </w:rPr>
        <w:t>人。</w:t>
      </w:r>
      <w:r>
        <w:rPr>
          <w:rFonts w:hint="eastAsia" w:ascii="宋体" w:hAnsi="宋体" w:eastAsia="宋体" w:cs="宋体"/>
          <w:color w:val="auto"/>
          <w:kern w:val="0"/>
          <w:sz w:val="28"/>
          <w:szCs w:val="28"/>
        </w:rPr>
        <w:t>与2021年预算数0.4万元相比减少0.17万元，原因是单位认真</w:t>
      </w:r>
      <w:r>
        <w:rPr>
          <w:rFonts w:hint="eastAsia" w:ascii="宋体" w:hAnsi="宋体" w:eastAsia="宋体" w:cs="宋体"/>
          <w:color w:val="auto"/>
          <w:kern w:val="0"/>
          <w:sz w:val="28"/>
          <w:szCs w:val="28"/>
          <w:lang w:eastAsia="zh-CN"/>
        </w:rPr>
        <w:t>贯彻落实中央八项规定</w:t>
      </w:r>
      <w:r>
        <w:rPr>
          <w:rFonts w:hint="eastAsia" w:ascii="宋体" w:hAnsi="宋体" w:eastAsia="宋体" w:cs="宋体"/>
          <w:color w:val="auto"/>
          <w:kern w:val="0"/>
          <w:sz w:val="28"/>
          <w:szCs w:val="28"/>
        </w:rPr>
        <w:t>精神和厉行节约要求，从严控制“公务接待”经费支出，</w:t>
      </w:r>
      <w:r>
        <w:rPr>
          <w:rFonts w:ascii="宋体" w:hAnsi="宋体" w:eastAsia="宋体" w:cs="宋体"/>
          <w:color w:val="auto"/>
          <w:kern w:val="0"/>
          <w:sz w:val="28"/>
          <w:szCs w:val="28"/>
        </w:rPr>
        <w:t>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万元相比</w:t>
      </w:r>
      <w:r>
        <w:rPr>
          <w:rFonts w:hint="eastAsia" w:ascii="宋体" w:hAnsi="宋体" w:eastAsia="宋体" w:cs="宋体"/>
          <w:color w:val="auto"/>
          <w:kern w:val="0"/>
          <w:sz w:val="28"/>
          <w:szCs w:val="28"/>
        </w:rPr>
        <w:t>增加0.235</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原因</w:t>
      </w:r>
      <w:r>
        <w:rPr>
          <w:rFonts w:hint="eastAsia" w:ascii="宋体" w:hAnsi="宋体" w:eastAsia="宋体" w:cs="宋体"/>
          <w:color w:val="auto"/>
          <w:kern w:val="0"/>
          <w:sz w:val="28"/>
          <w:szCs w:val="28"/>
        </w:rPr>
        <w:t>是</w:t>
      </w:r>
      <w:r>
        <w:rPr>
          <w:rFonts w:ascii="Arial" w:hAnsi="Arial" w:eastAsia="宋体" w:cs="Arial"/>
          <w:color w:val="auto"/>
          <w:sz w:val="27"/>
          <w:szCs w:val="27"/>
          <w:shd w:val="clear" w:color="auto" w:fill="FFFFFF"/>
        </w:rPr>
        <w:t>上级来黄检查招待</w:t>
      </w:r>
      <w:r>
        <w:rPr>
          <w:rFonts w:hint="eastAsia" w:ascii="Arial" w:hAnsi="Arial" w:eastAsia="宋体" w:cs="Arial"/>
          <w:color w:val="auto"/>
          <w:kern w:val="0"/>
          <w:sz w:val="27"/>
          <w:szCs w:val="27"/>
        </w:rPr>
        <w:t>用餐。</w:t>
      </w:r>
      <w:r>
        <w:rPr>
          <w:rFonts w:ascii="Arial" w:hAnsi="Arial" w:eastAsia="宋体" w:cs="Arial"/>
          <w:color w:val="auto"/>
          <w:sz w:val="27"/>
          <w:szCs w:val="27"/>
          <w:shd w:val="clear" w:color="auto" w:fill="FFFFFF"/>
        </w:rPr>
        <w:br w:type="textWrapping"/>
      </w:r>
      <w:r>
        <w:rPr>
          <w:rFonts w:ascii="Arial" w:hAnsi="Arial" w:eastAsia="宋体" w:cs="Arial"/>
          <w:color w:val="000000"/>
          <w:sz w:val="27"/>
          <w:szCs w:val="27"/>
          <w:shd w:val="clear" w:color="auto" w:fill="FFFFFF"/>
        </w:rPr>
        <w:t>七、</w:t>
      </w:r>
      <w:r>
        <w:rPr>
          <w:rStyle w:val="8"/>
          <w:rFonts w:ascii="Arial" w:hAnsi="Arial" w:eastAsia="宋体" w:cs="Arial"/>
          <w:color w:val="000000"/>
          <w:sz w:val="27"/>
          <w:szCs w:val="27"/>
          <w:shd w:val="clear" w:color="auto" w:fill="FFFFFF"/>
        </w:rPr>
        <w:t>机关运行经费执行情况说明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w:t>
      </w:r>
      <w:r>
        <w:rPr>
          <w:rFonts w:hint="eastAsia" w:ascii="Arial" w:hAnsi="Arial" w:eastAsia="宋体" w:cs="Arial"/>
          <w:color w:val="000000"/>
          <w:sz w:val="27"/>
          <w:szCs w:val="27"/>
          <w:shd w:val="clear" w:color="auto" w:fill="FFFFFF"/>
        </w:rPr>
        <w:t xml:space="preserve">   </w:t>
      </w:r>
      <w:r>
        <w:rPr>
          <w:rFonts w:hint="eastAsia" w:ascii="Arial" w:hAnsi="Arial" w:eastAsia="宋体" w:cs="Arial"/>
          <w:color w:val="auto"/>
          <w:kern w:val="0"/>
          <w:sz w:val="27"/>
          <w:szCs w:val="27"/>
        </w:rPr>
        <w:t>2021年度机关运行经费决算6万元，较年初预算数9.1万元减少3.1万元，</w:t>
      </w:r>
      <w:r>
        <w:rPr>
          <w:rFonts w:ascii="Arial" w:hAnsi="Arial" w:eastAsia="宋体" w:cs="Arial"/>
          <w:color w:val="auto"/>
          <w:kern w:val="0"/>
          <w:sz w:val="27"/>
          <w:szCs w:val="27"/>
        </w:rPr>
        <w:t>主要是将公务交通补贴纳入人员经费</w:t>
      </w:r>
      <w:r>
        <w:rPr>
          <w:rFonts w:hint="eastAsia" w:ascii="Arial" w:hAnsi="Arial" w:eastAsia="宋体" w:cs="Arial"/>
          <w:color w:val="auto"/>
          <w:kern w:val="0"/>
          <w:sz w:val="27"/>
          <w:szCs w:val="27"/>
        </w:rPr>
        <w:t>。 较2020年决算数14.96万元减少了8.96万元，减少的原因是</w:t>
      </w:r>
      <w:r>
        <w:rPr>
          <w:rFonts w:ascii="Arial" w:hAnsi="Arial" w:eastAsia="宋体" w:cs="Arial"/>
          <w:color w:val="auto"/>
          <w:sz w:val="27"/>
          <w:szCs w:val="27"/>
          <w:shd w:val="clear" w:color="auto" w:fill="FFFFFF"/>
        </w:rPr>
        <w:t>2020年财政将人力资</w:t>
      </w:r>
      <w:r>
        <w:rPr>
          <w:rFonts w:ascii="Arial" w:hAnsi="Arial" w:eastAsia="宋体" w:cs="Arial"/>
          <w:color w:val="000000"/>
          <w:sz w:val="27"/>
          <w:szCs w:val="27"/>
          <w:shd w:val="clear" w:color="auto" w:fill="FFFFFF"/>
        </w:rPr>
        <w:t>源和社会保障局、下陆区公共就业和社会保险服务中心两家单位的经费全部并入到人力资源和社会保障局。</w:t>
      </w:r>
      <w:r>
        <w:rPr>
          <w:rFonts w:hint="eastAsia" w:ascii="Arial" w:hAnsi="Arial" w:eastAsia="宋体" w:cs="Arial"/>
          <w:color w:val="000000"/>
          <w:kern w:val="0"/>
          <w:sz w:val="27"/>
          <w:szCs w:val="27"/>
        </w:rPr>
        <w:t>2021年度机关运行经费主要用于单位基本支出中</w:t>
      </w:r>
      <w:r>
        <w:rPr>
          <w:rFonts w:ascii="Arial" w:hAnsi="Arial" w:eastAsia="宋体" w:cs="Arial"/>
          <w:color w:val="000000"/>
          <w:kern w:val="0"/>
          <w:sz w:val="27"/>
          <w:szCs w:val="27"/>
        </w:rPr>
        <w:t>办公费</w:t>
      </w:r>
      <w:r>
        <w:rPr>
          <w:rFonts w:hint="eastAsia" w:ascii="Arial" w:hAnsi="Arial" w:eastAsia="宋体" w:cs="Arial"/>
          <w:color w:val="000000"/>
          <w:kern w:val="0"/>
          <w:sz w:val="27"/>
          <w:szCs w:val="27"/>
        </w:rPr>
        <w:t>1</w:t>
      </w:r>
      <w:r>
        <w:rPr>
          <w:rFonts w:ascii="Arial" w:hAnsi="Arial" w:eastAsia="宋体" w:cs="Arial"/>
          <w:color w:val="000000"/>
          <w:sz w:val="27"/>
          <w:szCs w:val="27"/>
          <w:shd w:val="clear" w:color="auto" w:fill="FFFFFF"/>
        </w:rPr>
        <w:t>.58万元、电费1.92万元、邮电费0.21万元、差旅费0.23万元、日常维修费0.0.2万元、福利费0.12万元、劳务费0.03万元、委托业务费0.2万元、工会经费1.37万元、其他交通费用0.1万元。其他商品和服务支出0.21万元</w:t>
      </w:r>
      <w:r>
        <w:rPr>
          <w:rFonts w:hint="eastAsia" w:ascii="Arial" w:hAnsi="Arial" w:eastAsia="宋体" w:cs="Arial"/>
          <w:color w:val="000000"/>
          <w:sz w:val="27"/>
          <w:szCs w:val="27"/>
          <w:shd w:val="clear" w:color="auto" w:fill="FFFFFF"/>
        </w:rPr>
        <w:t>等</w:t>
      </w:r>
      <w:r>
        <w:rPr>
          <w:rFonts w:ascii="Arial" w:hAnsi="Arial" w:eastAsia="宋体" w:cs="Arial"/>
          <w:color w:val="000000"/>
          <w:sz w:val="27"/>
          <w:szCs w:val="27"/>
          <w:shd w:val="clear" w:color="auto" w:fill="FFFFFF"/>
        </w:rPr>
        <w:t>。</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八、政府采购执行情况说明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w:t>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2021年度我单位政府采购预算计划金额15.9万元，其中一般公共预算15.9万元，其他资金0万元；主要用于购买货物15.9万元，工程0万元，服务0万元。授予中小企业合同金额 15.9万元，占政府采购支出总额的 100%，其中：授予小微企业合同金额15.9万元，占政府采购支出总额的 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w:t>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2021年度我单位政府实际采购金额52.95万元，其中一般公共预算52.95万元，其他资金0万元；主要用于购买货物41.27万元，工程11.68万元，服务0万元。2021年政府采购授予中小企业合同总额52.95万元，占政府采购合同总额的100%；其中：授予小微企业合同金额52.95万元，占政府采购支出总额的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w:t>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政府采购支出总额比2020年度5.12万元增加47.83万元，涨幅934.18%，主要原因:2021年购置办公设备一批，同时对新办公用房进行装修。</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九、国有资产占用情况说明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w:t>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2021年度我单位共占有车辆数0台，其中：机要通信用车0台，应急保障用车0台，执法执勤用车0台，特种专用技术用车0台，其他用车0台；单价50万元以上通用设备0台；单价100万元以上专用设备0台。</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十、其他情况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w:t>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我单位无举借政府债务情况、无扶贫专项资金情况、无政府性基金预算收支情况、无财政专项支出情况、无专项转移支付情况。</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十一、预算绩效工作开展情况</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（一）预算绩效管理工作开展情况</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根据预算绩效管理要求，我单位组织对2021年度一般公共预算项目支出全面开展绩效自评，共涉及项目3个，资金76万元（其中：一般公共预算拨款76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390" w:type="dxa"/>
        <w:tblInd w:w="0" w:type="dxa"/>
        <w:shd w:val="clear" w:color="auto" w:fill="auto"/>
        <w:tblLayout w:type="autofit"/>
        <w:tblCellMar>
          <w:top w:w="0" w:type="dxa"/>
          <w:left w:w="0" w:type="dxa"/>
          <w:bottom w:w="0" w:type="dxa"/>
          <w:right w:w="0" w:type="dxa"/>
        </w:tblCellMar>
      </w:tblPr>
      <w:tblGrid>
        <w:gridCol w:w="648"/>
        <w:gridCol w:w="624"/>
        <w:gridCol w:w="768"/>
        <w:gridCol w:w="405"/>
        <w:gridCol w:w="2565"/>
        <w:gridCol w:w="2235"/>
        <w:gridCol w:w="765"/>
        <w:gridCol w:w="720"/>
        <w:gridCol w:w="660"/>
      </w:tblGrid>
      <w:tr w14:paraId="3B651BFB">
        <w:tblPrEx>
          <w:shd w:val="clear" w:color="auto" w:fill="auto"/>
          <w:tblCellMar>
            <w:top w:w="0" w:type="dxa"/>
            <w:left w:w="0" w:type="dxa"/>
            <w:bottom w:w="0" w:type="dxa"/>
            <w:right w:w="0" w:type="dxa"/>
          </w:tblCellMar>
        </w:tblPrEx>
        <w:trPr>
          <w:trHeight w:val="560" w:hRule="atLeast"/>
        </w:trPr>
        <w:tc>
          <w:tcPr>
            <w:tcW w:w="9390" w:type="dxa"/>
            <w:gridSpan w:val="9"/>
            <w:tcBorders>
              <w:top w:val="nil"/>
              <w:left w:val="nil"/>
              <w:bottom w:val="nil"/>
              <w:right w:val="nil"/>
            </w:tcBorders>
            <w:shd w:val="clear" w:color="auto" w:fill="FFFFFF"/>
            <w:tcMar>
              <w:top w:w="15" w:type="dxa"/>
              <w:left w:w="15" w:type="dxa"/>
              <w:right w:w="15" w:type="dxa"/>
            </w:tcMar>
            <w:vAlign w:val="center"/>
          </w:tcPr>
          <w:p w14:paraId="00BD6377">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12A33A18">
        <w:tblPrEx>
          <w:shd w:val="clear" w:color="auto" w:fill="auto"/>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48E22">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7B4A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444D55">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5518E">
            <w:pPr>
              <w:jc w:val="center"/>
              <w:rPr>
                <w:rFonts w:hint="eastAsia" w:ascii="仿宋_GB2312" w:hAnsi="宋体" w:eastAsia="仿宋_GB2312" w:cs="仿宋_GB2312"/>
                <w:i w:val="0"/>
                <w:color w:val="000000"/>
                <w:sz w:val="24"/>
                <w:szCs w:val="24"/>
                <w:u w:val="none"/>
              </w:rPr>
            </w:pPr>
          </w:p>
        </w:tc>
      </w:tr>
      <w:tr w14:paraId="25A7C3DD">
        <w:tblPrEx>
          <w:shd w:val="clear" w:color="auto" w:fill="auto"/>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3E2A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97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64D7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黄石市下陆区人力资源和社会保障局</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01618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C165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1F841C64">
        <w:tblPrEx>
          <w:shd w:val="clear" w:color="auto" w:fill="auto"/>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B5FB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262A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274.69万元</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B2A9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92A83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111.64万元</w:t>
            </w:r>
          </w:p>
        </w:tc>
      </w:tr>
      <w:tr w14:paraId="57493B0B">
        <w:tblPrEx>
          <w:shd w:val="clear" w:color="auto" w:fill="auto"/>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EF342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0393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2F94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0DDF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7A628C57">
        <w:tblPrEx>
          <w:shd w:val="clear" w:color="auto" w:fill="auto"/>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2D5EA">
            <w:pPr>
              <w:jc w:val="center"/>
              <w:rPr>
                <w:rFonts w:hint="eastAsia" w:ascii="仿宋_GB2312" w:hAnsi="宋体" w:eastAsia="仿宋_GB2312" w:cs="仿宋_GB2312"/>
                <w:i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FA8F78">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386.34万元</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469D9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404.58万元</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037E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w:t>
            </w:r>
          </w:p>
        </w:tc>
      </w:tr>
      <w:tr w14:paraId="72571BD2">
        <w:tblPrEx>
          <w:shd w:val="clear" w:color="auto" w:fill="auto"/>
          <w:tblCellMar>
            <w:top w:w="0" w:type="dxa"/>
            <w:left w:w="0" w:type="dxa"/>
            <w:bottom w:w="0" w:type="dxa"/>
            <w:right w:w="0"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643E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A05F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5F0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4F82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F13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CEDE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C599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768C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639A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5BD1BFF2">
        <w:tblPrEx>
          <w:shd w:val="clear" w:color="auto" w:fill="auto"/>
          <w:tblCellMar>
            <w:top w:w="0" w:type="dxa"/>
            <w:left w:w="0" w:type="dxa"/>
            <w:bottom w:w="0" w:type="dxa"/>
            <w:right w:w="0" w:type="dxa"/>
          </w:tblCellMar>
        </w:tblPrEx>
        <w:trPr>
          <w:trHeight w:val="336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1D5E9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9D4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299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9C4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43D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预算完成数：部门（单位）本年度实际完成的预算数。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预算数：财政部门批复的本年度部门（单位）预算数。</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010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预算完成率＝100%的，得10分。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预算完成率≥95%的，得9分。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预算完成率在90%（含）和95%之间，得8分。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预算完成率在85%（含）和90%之间，得7分。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预算完成率在80%（含）和85%之间，得6分。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预算完成率在70%（含）和80%之间，得4分。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预算完成率＜70%的，得0分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182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803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AB3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14:paraId="653C8E75">
        <w:tblPrEx>
          <w:shd w:val="clear" w:color="auto" w:fill="auto"/>
          <w:tblCellMar>
            <w:top w:w="0" w:type="dxa"/>
            <w:left w:w="0" w:type="dxa"/>
            <w:bottom w:w="0" w:type="dxa"/>
            <w:right w:w="0" w:type="dxa"/>
          </w:tblCellMar>
        </w:tblPrEx>
        <w:trPr>
          <w:trHeight w:val="30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AFC7793">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32811">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1F5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770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000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预算包括一般公共预算与政府性基金预算。</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CFC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预算调整率绝对值≤5%，得10分。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预算调整率绝对值＞5%的，每增加0.1个百分点扣0.1分，扣完为止。</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720A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B6B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6CA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0B5ED9F5">
        <w:tblPrEx>
          <w:shd w:val="clear" w:color="auto" w:fill="auto"/>
          <w:tblCellMar>
            <w:top w:w="0" w:type="dxa"/>
            <w:left w:w="0" w:type="dxa"/>
            <w:bottom w:w="0" w:type="dxa"/>
            <w:right w:w="0" w:type="dxa"/>
          </w:tblCellMar>
        </w:tblPrEx>
        <w:trPr>
          <w:trHeight w:val="31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4DE63F4">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4F325">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DF2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2A8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42DD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895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半年进度：进度率≥45%，得4分；进度率在40%（含）和45%之间，得2分；进度率＜40%，得0分。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前三季度进度：进度率≥75%，得6分；进度率在60%（含）和75%之间，得4分；进度率＜60%，得0分。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481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半年进度率≥45%，            前三季度进度率≥75%      </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015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半年进度率≥49%，            前三季度进度率≥82%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EAB13">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r>
      <w:tr w14:paraId="768F6815">
        <w:tblPrEx>
          <w:shd w:val="clear" w:color="auto" w:fill="auto"/>
          <w:tblCellMar>
            <w:top w:w="0" w:type="dxa"/>
            <w:left w:w="0" w:type="dxa"/>
            <w:bottom w:w="0" w:type="dxa"/>
            <w:right w:w="0" w:type="dxa"/>
          </w:tblCellMar>
        </w:tblPrEx>
        <w:trPr>
          <w:trHeight w:val="17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0E9F9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02D9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0FF4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0C5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D15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部门预算中除财政拨款外的其他收入预算与决算差异率。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预算编制准确率＝其他收入决算数/其他收入预算数×100%-100%。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81D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预算编制准确率≤20%，得5分。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预算编制准确率在20%和40%（含）之间，得3分。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预算编制准确率＞40%，得0分。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CBF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8CB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DE2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7EB3D4F8">
        <w:tblPrEx>
          <w:shd w:val="clear" w:color="auto" w:fill="auto"/>
          <w:tblCellMar>
            <w:top w:w="0" w:type="dxa"/>
            <w:left w:w="0" w:type="dxa"/>
            <w:bottom w:w="0" w:type="dxa"/>
            <w:right w:w="0" w:type="dxa"/>
          </w:tblCellMar>
        </w:tblPrEx>
        <w:trPr>
          <w:trHeight w:val="144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4882F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0C2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DE6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E87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2D8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AFF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 ≤100%，得5分，每增加0.1个百分点扣0.5分，扣完为止。</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2F4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FB5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A8E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2682D68C">
        <w:tblPrEx>
          <w:shd w:val="clear" w:color="auto" w:fill="auto"/>
          <w:tblCellMar>
            <w:top w:w="0" w:type="dxa"/>
            <w:left w:w="0" w:type="dxa"/>
            <w:bottom w:w="0" w:type="dxa"/>
            <w:right w:w="0" w:type="dxa"/>
          </w:tblCellMar>
        </w:tblPrEx>
        <w:trPr>
          <w:trHeight w:val="26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83F3ADB">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0A92D">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2D2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09B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DFC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部门（单位）资产管理是否规范，用以反映和考核部门（单位）资产管理情况。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1.新增资产配置按预算执行。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2.资产有偿使用、处置按规定程序审批。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3.资产收益及时、足额上缴财政。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077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全部符合5分，有1项不符扣2分,扣完为止。</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2FD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F93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25A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5EAEA0B2">
        <w:tblPrEx>
          <w:shd w:val="clear" w:color="auto" w:fill="auto"/>
          <w:tblCellMar>
            <w:top w:w="0" w:type="dxa"/>
            <w:left w:w="0" w:type="dxa"/>
            <w:bottom w:w="0" w:type="dxa"/>
            <w:right w:w="0" w:type="dxa"/>
          </w:tblCellMar>
        </w:tblPrEx>
        <w:trPr>
          <w:trHeight w:val="40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D003FAA">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3A96C">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B6D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A5E0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AEF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2.资金的拨付有完整的审批程序和手续；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3.重大项目开支经过评估论证；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4.符合部门预算批复的用途；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5.不存在截留、挤占、挪用、虚列支出等情况。</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69C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全部符合10分,有1项不符扣2分，扣完为止。</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3F8C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B2BE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FCD0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24774CB3">
        <w:tblPrEx>
          <w:shd w:val="clear" w:color="auto" w:fill="auto"/>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16F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DB8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4B9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8F2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B54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现行行政运行经费支出预算编制方法的行政运行成本。</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8DC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可使行政运行成本最经济为5分，可使行政运行成本较合理为3分，一般为2分，不合理为0分。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57A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EE6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641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36E845C2">
        <w:tblPrEx>
          <w:shd w:val="clear" w:color="auto" w:fill="auto"/>
          <w:tblCellMar>
            <w:top w:w="0" w:type="dxa"/>
            <w:left w:w="0" w:type="dxa"/>
            <w:bottom w:w="0" w:type="dxa"/>
            <w:right w:w="0" w:type="dxa"/>
          </w:tblCellMar>
        </w:tblPrEx>
        <w:trPr>
          <w:trHeight w:val="12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610EF">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084CA">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3FE0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40A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E5D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行政运行经费支出能否保障部门正常运行。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B74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正常运行的得5分，基本正常得3分，不能正常运行的不得分。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4E7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D685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1F7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52510078">
        <w:tblPrEx>
          <w:shd w:val="clear" w:color="auto" w:fill="auto"/>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77C10">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EB660">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664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8B1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3162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项目资金运行产生的经济效益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FC2D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经济效益显著得10分；一般得5分，下降不得分。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ECF2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6CD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经济效益较显著</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C3E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14:paraId="3FECF4BA">
        <w:tblPrEx>
          <w:shd w:val="clear" w:color="auto" w:fill="auto"/>
          <w:tblCellMar>
            <w:top w:w="0" w:type="dxa"/>
            <w:left w:w="0" w:type="dxa"/>
            <w:bottom w:w="0" w:type="dxa"/>
            <w:right w:w="0" w:type="dxa"/>
          </w:tblCellMar>
        </w:tblPrEx>
        <w:trPr>
          <w:trHeight w:val="11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BECCF">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2FE157">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9FA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1A99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CD5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项目资金运行产生的社会效益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A1D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社会效益显著得10分；一般得5分；否则不得分。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7BC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7D3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社会效益较显著</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061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14:paraId="44D310F7">
        <w:tblPrEx>
          <w:shd w:val="clear" w:color="auto" w:fill="auto"/>
          <w:tblCellMar>
            <w:top w:w="0" w:type="dxa"/>
            <w:left w:w="0" w:type="dxa"/>
            <w:bottom w:w="0" w:type="dxa"/>
            <w:right w:w="0" w:type="dxa"/>
          </w:tblCellMar>
        </w:tblPrEx>
        <w:trPr>
          <w:trHeight w:val="21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5AD8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39B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3CA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C5D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4D3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1.项目完成后有经费安排能满足项目持续运行需要；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2.项目完成后有制度保障项目持续运行需要；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3.项目完成后有明确的项目管理机构、负责人对项目后继管理负责，满足持续运行需要。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BB5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全部符合15分,有1项不符扣5分，扣完为止。</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191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6465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专项运行可持续影响较好</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052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14:paraId="2985154D">
        <w:tblPrEx>
          <w:shd w:val="clear" w:color="auto" w:fill="auto"/>
          <w:tblCellMar>
            <w:top w:w="0" w:type="dxa"/>
            <w:left w:w="0" w:type="dxa"/>
            <w:bottom w:w="0" w:type="dxa"/>
            <w:right w:w="0" w:type="dxa"/>
          </w:tblCellMar>
        </w:tblPrEx>
        <w:trPr>
          <w:trHeight w:val="500" w:hRule="atLeast"/>
        </w:trPr>
        <w:tc>
          <w:tcPr>
            <w:tcW w:w="724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9169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评价结论（优、良、中、差）：优</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755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C5D28">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89</w:t>
            </w:r>
          </w:p>
        </w:tc>
      </w:tr>
    </w:tbl>
    <w:p w14:paraId="12346FDB">
      <w:pPr>
        <w:rPr>
          <w:rFonts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（二）部门决算中项目绩效自评结果</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1.</w:t>
      </w:r>
      <w:r>
        <w:rPr>
          <w:rFonts w:ascii="Arial" w:hAnsi="Arial" w:eastAsia="宋体" w:cs="Arial"/>
          <w:color w:val="000000"/>
          <w:sz w:val="27"/>
          <w:szCs w:val="27"/>
          <w:shd w:val="clear" w:color="auto" w:fill="FFFFFF"/>
        </w:rPr>
        <w:t> </w:t>
      </w:r>
      <w:r>
        <w:rPr>
          <w:rStyle w:val="8"/>
          <w:rFonts w:ascii="Arial" w:hAnsi="Arial" w:eastAsia="宋体" w:cs="Arial"/>
          <w:color w:val="000000"/>
          <w:sz w:val="27"/>
          <w:szCs w:val="27"/>
          <w:shd w:val="clear" w:color="auto" w:fill="FFFFFF"/>
        </w:rPr>
        <w:t>人才公寓租金补贴绩效自评：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项目全年预算数为3万元，其中：一般公共预算财政拨款3万元。执行数为2.05万元，完成预算69.33%。</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主要产出和效益：解决我区引进的重点产业高层次人才、急需紧缺人才提供的过渡性周转用房。</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效益指标：健全人才住房保障，做好人才服务工作，吸引更多高层次人才来我区工作。</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服务对象满意度指标：提高高层次人才满意度达90%。</w:t>
      </w:r>
    </w:p>
    <w:p w14:paraId="09740501">
      <w:pPr>
        <w:rPr>
          <w:rFonts w:hint="eastAsia" w:ascii="Arial" w:hAnsi="Arial" w:eastAsia="宋体" w:cs="Arial"/>
          <w:color w:val="000000"/>
          <w:sz w:val="27"/>
          <w:szCs w:val="27"/>
          <w:shd w:val="clear" w:color="auto" w:fill="FFFFFF"/>
          <w:lang w:val="en-US" w:eastAsia="zh-CN"/>
        </w:rPr>
      </w:pPr>
      <w:r>
        <w:rPr>
          <w:rStyle w:val="8"/>
          <w:rFonts w:ascii="Arial" w:hAnsi="Arial" w:eastAsia="宋体" w:cs="Arial"/>
          <w:color w:val="000000"/>
          <w:sz w:val="27"/>
          <w:szCs w:val="27"/>
          <w:shd w:val="clear" w:color="auto" w:fill="FFFFFF"/>
        </w:rPr>
        <w:t>人才公寓租金补贴绩效自评</w:t>
      </w:r>
      <w:r>
        <w:rPr>
          <w:rStyle w:val="8"/>
          <w:rFonts w:hint="eastAsia" w:ascii="Arial" w:hAnsi="Arial" w:eastAsia="宋体" w:cs="Arial"/>
          <w:color w:val="000000"/>
          <w:sz w:val="27"/>
          <w:szCs w:val="27"/>
          <w:shd w:val="clear" w:color="auto"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193"/>
        <w:gridCol w:w="1235"/>
        <w:gridCol w:w="949"/>
        <w:gridCol w:w="369"/>
        <w:gridCol w:w="1458"/>
        <w:gridCol w:w="689"/>
        <w:gridCol w:w="629"/>
        <w:gridCol w:w="884"/>
      </w:tblGrid>
      <w:tr w14:paraId="3B5D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8640BF1">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502E69B9">
            <w:pPr>
              <w:rPr>
                <w:rFonts w:ascii="Arial"/>
                <w:sz w:val="21"/>
              </w:rPr>
            </w:pPr>
            <w:r>
              <w:rPr>
                <w:rStyle w:val="8"/>
                <w:rFonts w:ascii="Arial" w:hAnsi="Arial" w:eastAsia="宋体" w:cs="Arial"/>
                <w:color w:val="000000"/>
                <w:sz w:val="27"/>
                <w:szCs w:val="27"/>
                <w:shd w:val="clear" w:color="auto" w:fill="FFFFFF"/>
              </w:rPr>
              <w:t>人才公寓租金补贴</w:t>
            </w:r>
          </w:p>
        </w:tc>
      </w:tr>
      <w:tr w14:paraId="5F3C5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19519C9C">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4E2F7E44">
            <w:pPr>
              <w:rPr>
                <w:rFonts w:ascii="Arial"/>
                <w:sz w:val="21"/>
              </w:rPr>
            </w:pPr>
            <w:r>
              <w:rPr>
                <w:rFonts w:hint="eastAsia" w:ascii="仿宋_GB2312" w:hAnsi="宋体" w:eastAsia="仿宋_GB2312" w:cs="仿宋_GB2312"/>
                <w:i w:val="0"/>
                <w:color w:val="000000"/>
                <w:kern w:val="0"/>
                <w:sz w:val="20"/>
                <w:szCs w:val="20"/>
                <w:u w:val="none"/>
                <w:lang w:val="en-US" w:eastAsia="zh-CN" w:bidi="ar"/>
              </w:rPr>
              <w:t>下陆区人力资源和社会保障局</w:t>
            </w:r>
          </w:p>
        </w:tc>
        <w:tc>
          <w:tcPr>
            <w:tcW w:w="2516" w:type="dxa"/>
            <w:gridSpan w:val="3"/>
            <w:noWrap w:val="0"/>
            <w:vAlign w:val="top"/>
          </w:tcPr>
          <w:p w14:paraId="213C1D6B">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0E6FD749">
            <w:pPr>
              <w:rPr>
                <w:rFonts w:hint="eastAsia" w:ascii="Arial" w:eastAsia="宋体"/>
                <w:sz w:val="21"/>
                <w:lang w:val="en-US" w:eastAsia="zh-CN"/>
              </w:rPr>
            </w:pPr>
            <w:r>
              <w:rPr>
                <w:rFonts w:hint="eastAsia" w:ascii="Arial"/>
                <w:sz w:val="21"/>
                <w:lang w:val="en-US" w:eastAsia="zh-CN"/>
              </w:rPr>
              <w:t>人社局</w:t>
            </w:r>
          </w:p>
        </w:tc>
      </w:tr>
      <w:tr w14:paraId="07ED7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88630CC">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1AE6180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31CC9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3A15CD7D">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B9B3FDB">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0EB77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5869584">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100A4DB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30441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3D89907F">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4E5C097A">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31FDD329">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213" w:type="dxa"/>
            <w:gridSpan w:val="2"/>
            <w:noWrap w:val="0"/>
            <w:vAlign w:val="top"/>
          </w:tcPr>
          <w:p w14:paraId="63C0656D">
            <w:pPr>
              <w:rPr>
                <w:rFonts w:ascii="Arial"/>
                <w:sz w:val="21"/>
              </w:rPr>
            </w:pPr>
          </w:p>
        </w:tc>
        <w:tc>
          <w:tcPr>
            <w:tcW w:w="1235" w:type="dxa"/>
            <w:noWrap w:val="0"/>
            <w:vAlign w:val="top"/>
          </w:tcPr>
          <w:p w14:paraId="5E29F43B">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69596DA">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2E95EA8">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170BB481">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D8D4A9C">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8B49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335AA6FB">
            <w:pPr>
              <w:rPr>
                <w:rFonts w:ascii="Arial"/>
                <w:sz w:val="21"/>
              </w:rPr>
            </w:pPr>
          </w:p>
        </w:tc>
        <w:tc>
          <w:tcPr>
            <w:tcW w:w="1213" w:type="dxa"/>
            <w:gridSpan w:val="2"/>
            <w:noWrap w:val="0"/>
            <w:vAlign w:val="top"/>
          </w:tcPr>
          <w:p w14:paraId="559184CA">
            <w:pPr>
              <w:spacing w:before="59" w:line="215" w:lineRule="auto"/>
              <w:ind w:left="112" w:right="108"/>
              <w:rPr>
                <w:rFonts w:ascii="宋体" w:hAnsi="宋体" w:eastAsia="宋体" w:cs="宋体"/>
                <w:sz w:val="21"/>
                <w:szCs w:val="21"/>
              </w:rPr>
            </w:pPr>
            <w:r>
              <w:t>年度财政 资金总额</w:t>
            </w:r>
          </w:p>
        </w:tc>
        <w:tc>
          <w:tcPr>
            <w:tcW w:w="1235" w:type="dxa"/>
            <w:noWrap w:val="0"/>
            <w:vAlign w:val="top"/>
          </w:tcPr>
          <w:p w14:paraId="37E2363C">
            <w:pPr>
              <w:rPr>
                <w:rFonts w:hint="default" w:ascii="Arial" w:eastAsia="宋体"/>
                <w:sz w:val="21"/>
                <w:lang w:val="en-US" w:eastAsia="zh-CN"/>
              </w:rPr>
            </w:pPr>
            <w:r>
              <w:rPr>
                <w:rFonts w:hint="eastAsia" w:ascii="Arial" w:eastAsia="宋体"/>
                <w:sz w:val="21"/>
                <w:lang w:val="en-US" w:eastAsia="zh-CN"/>
              </w:rPr>
              <w:t>3</w:t>
            </w:r>
          </w:p>
        </w:tc>
        <w:tc>
          <w:tcPr>
            <w:tcW w:w="1318" w:type="dxa"/>
            <w:gridSpan w:val="2"/>
            <w:noWrap w:val="0"/>
            <w:vAlign w:val="top"/>
          </w:tcPr>
          <w:p w14:paraId="6A45288C">
            <w:pPr>
              <w:rPr>
                <w:rFonts w:hint="default" w:ascii="Arial" w:eastAsia="宋体"/>
                <w:sz w:val="21"/>
                <w:lang w:val="en-US" w:eastAsia="zh-CN"/>
              </w:rPr>
            </w:pPr>
            <w:r>
              <w:rPr>
                <w:rFonts w:hint="eastAsia" w:ascii="Arial" w:eastAsia="宋体"/>
                <w:sz w:val="21"/>
                <w:lang w:val="en-US" w:eastAsia="zh-CN"/>
              </w:rPr>
              <w:t>3</w:t>
            </w:r>
          </w:p>
        </w:tc>
        <w:tc>
          <w:tcPr>
            <w:tcW w:w="1458" w:type="dxa"/>
            <w:noWrap w:val="0"/>
            <w:vAlign w:val="top"/>
          </w:tcPr>
          <w:p w14:paraId="40A339C1">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1EDF5574">
            <w:pPr>
              <w:rPr>
                <w:rFonts w:hint="default" w:ascii="Arial" w:eastAsia="宋体"/>
                <w:sz w:val="21"/>
                <w:lang w:val="en-US" w:eastAsia="zh-CN"/>
              </w:rPr>
            </w:pPr>
            <w:r>
              <w:rPr>
                <w:rFonts w:hint="eastAsia" w:ascii="Arial"/>
                <w:sz w:val="21"/>
                <w:lang w:val="en-US" w:eastAsia="zh-CN"/>
              </w:rPr>
              <w:t>20</w:t>
            </w:r>
          </w:p>
        </w:tc>
      </w:tr>
      <w:tr w14:paraId="654A3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3B20D1D">
            <w:pPr>
              <w:spacing w:line="269" w:lineRule="auto"/>
              <w:rPr>
                <w:rFonts w:ascii="Arial"/>
                <w:sz w:val="21"/>
              </w:rPr>
            </w:pPr>
          </w:p>
          <w:p w14:paraId="38F74862">
            <w:pPr>
              <w:spacing w:line="269" w:lineRule="auto"/>
              <w:rPr>
                <w:rFonts w:ascii="Arial"/>
                <w:sz w:val="21"/>
              </w:rPr>
            </w:pPr>
          </w:p>
          <w:p w14:paraId="7763F8C6">
            <w:pPr>
              <w:spacing w:line="269" w:lineRule="auto"/>
              <w:rPr>
                <w:rFonts w:ascii="Arial"/>
                <w:sz w:val="21"/>
              </w:rPr>
            </w:pPr>
          </w:p>
          <w:p w14:paraId="4AA414C0">
            <w:pPr>
              <w:spacing w:line="270" w:lineRule="auto"/>
              <w:rPr>
                <w:rFonts w:ascii="Arial"/>
                <w:sz w:val="21"/>
              </w:rPr>
            </w:pPr>
          </w:p>
          <w:p w14:paraId="54AA3893">
            <w:pPr>
              <w:spacing w:line="270" w:lineRule="auto"/>
              <w:rPr>
                <w:rFonts w:ascii="Arial"/>
                <w:sz w:val="21"/>
              </w:rPr>
            </w:pPr>
          </w:p>
          <w:p w14:paraId="1BB0A362">
            <w:pPr>
              <w:spacing w:line="270" w:lineRule="auto"/>
              <w:rPr>
                <w:rFonts w:ascii="Arial"/>
                <w:sz w:val="21"/>
              </w:rPr>
            </w:pPr>
          </w:p>
          <w:p w14:paraId="51E21828">
            <w:pPr>
              <w:spacing w:line="270" w:lineRule="auto"/>
              <w:rPr>
                <w:rFonts w:ascii="Arial"/>
                <w:sz w:val="21"/>
              </w:rPr>
            </w:pPr>
          </w:p>
          <w:p w14:paraId="7A1959AC">
            <w:pPr>
              <w:jc w:val="center"/>
              <w:rPr>
                <w:b/>
                <w:bCs/>
              </w:rPr>
            </w:pPr>
          </w:p>
          <w:p w14:paraId="14800A52">
            <w:pPr>
              <w:jc w:val="center"/>
              <w:rPr>
                <w:b/>
                <w:bCs/>
              </w:rPr>
            </w:pPr>
            <w:r>
              <w:rPr>
                <w:b/>
                <w:bCs/>
              </w:rPr>
              <w:t>年</w:t>
            </w:r>
          </w:p>
          <w:p w14:paraId="3569927B">
            <w:pPr>
              <w:jc w:val="center"/>
              <w:rPr>
                <w:b/>
                <w:bCs/>
              </w:rPr>
            </w:pPr>
            <w:r>
              <w:rPr>
                <w:b/>
                <w:bCs/>
              </w:rPr>
              <w:t>度</w:t>
            </w:r>
          </w:p>
          <w:p w14:paraId="0C146F0D">
            <w:pPr>
              <w:jc w:val="center"/>
              <w:rPr>
                <w:b/>
                <w:bCs/>
              </w:rPr>
            </w:pPr>
            <w:r>
              <w:rPr>
                <w:b/>
                <w:bCs/>
              </w:rPr>
              <w:t>绩</w:t>
            </w:r>
          </w:p>
          <w:p w14:paraId="581D524A">
            <w:pPr>
              <w:jc w:val="center"/>
              <w:rPr>
                <w:b/>
                <w:bCs/>
              </w:rPr>
            </w:pPr>
            <w:r>
              <w:rPr>
                <w:b/>
                <w:bCs/>
              </w:rPr>
              <w:t>效</w:t>
            </w:r>
          </w:p>
          <w:p w14:paraId="61A81402">
            <w:pPr>
              <w:jc w:val="center"/>
              <w:rPr>
                <w:b/>
                <w:bCs/>
              </w:rPr>
            </w:pPr>
            <w:r>
              <w:rPr>
                <w:b/>
                <w:bCs/>
              </w:rPr>
              <w:t>目</w:t>
            </w:r>
          </w:p>
          <w:p w14:paraId="1FA8983E">
            <w:pPr>
              <w:jc w:val="center"/>
              <w:rPr>
                <w:b/>
                <w:bCs/>
              </w:rPr>
            </w:pPr>
            <w:r>
              <w:rPr>
                <w:b/>
                <w:bCs/>
              </w:rPr>
              <w:t>标</w:t>
            </w:r>
          </w:p>
          <w:p w14:paraId="394E45DD">
            <w:pPr>
              <w:jc w:val="center"/>
              <w:rPr>
                <w:b/>
                <w:bCs/>
              </w:rPr>
            </w:pPr>
            <w:r>
              <w:rPr>
                <w:b/>
                <w:bCs/>
              </w:rPr>
              <w:t>1</w:t>
            </w:r>
          </w:p>
          <w:p w14:paraId="609F6DC0">
            <w:pPr>
              <w:jc w:val="center"/>
              <w:rPr>
                <w:rFonts w:ascii="宋体" w:hAnsi="宋体" w:eastAsia="宋体" w:cs="宋体"/>
                <w:sz w:val="22"/>
                <w:szCs w:val="22"/>
              </w:rPr>
            </w:pPr>
            <w:r>
              <w:rPr>
                <w:b/>
                <w:bCs/>
              </w:rPr>
              <w:t>(XX分 )</w:t>
            </w:r>
          </w:p>
        </w:tc>
        <w:tc>
          <w:tcPr>
            <w:tcW w:w="689" w:type="dxa"/>
            <w:noWrap w:val="0"/>
            <w:vAlign w:val="top"/>
          </w:tcPr>
          <w:p w14:paraId="1DF9EF7D">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213" w:type="dxa"/>
            <w:gridSpan w:val="2"/>
            <w:noWrap w:val="0"/>
            <w:vAlign w:val="top"/>
          </w:tcPr>
          <w:p w14:paraId="24B351D7">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553" w:type="dxa"/>
            <w:gridSpan w:val="3"/>
            <w:noWrap w:val="0"/>
            <w:vAlign w:val="top"/>
          </w:tcPr>
          <w:p w14:paraId="183F292D">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56C1FD7E">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BEF0087">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DD383EA">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757963E">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0C5386B9">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080C6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814" w:type="dxa"/>
            <w:vMerge w:val="continue"/>
            <w:tcBorders>
              <w:top w:val="nil"/>
              <w:bottom w:val="nil"/>
            </w:tcBorders>
            <w:noWrap w:val="0"/>
            <w:vAlign w:val="top"/>
          </w:tcPr>
          <w:p w14:paraId="09DE8D4F">
            <w:pPr>
              <w:rPr>
                <w:rFonts w:ascii="Arial"/>
                <w:sz w:val="21"/>
              </w:rPr>
            </w:pPr>
          </w:p>
        </w:tc>
        <w:tc>
          <w:tcPr>
            <w:tcW w:w="689" w:type="dxa"/>
            <w:tcBorders>
              <w:bottom w:val="nil"/>
            </w:tcBorders>
            <w:noWrap w:val="0"/>
            <w:vAlign w:val="top"/>
          </w:tcPr>
          <w:p w14:paraId="3CBE23A2">
            <w:pPr>
              <w:rPr>
                <w:b/>
                <w:bCs/>
              </w:rPr>
            </w:pPr>
          </w:p>
          <w:p w14:paraId="2086560B">
            <w:pPr>
              <w:jc w:val="both"/>
              <w:rPr>
                <w:b/>
                <w:bCs/>
              </w:rPr>
            </w:pPr>
            <w:r>
              <w:rPr>
                <w:b/>
                <w:bCs/>
              </w:rPr>
              <w:t>产出</w:t>
            </w:r>
          </w:p>
          <w:p w14:paraId="24747A3A">
            <w:pPr>
              <w:jc w:val="center"/>
              <w:rPr>
                <w:rFonts w:hint="eastAsia" w:eastAsia="宋体"/>
                <w:b/>
                <w:bCs/>
                <w:lang w:val="en-US" w:eastAsia="zh-CN"/>
              </w:rPr>
            </w:pPr>
            <w:r>
              <w:rPr>
                <w:rFonts w:hint="eastAsia"/>
                <w:b/>
                <w:bCs/>
                <w:lang w:val="en-US" w:eastAsia="zh-CN"/>
              </w:rPr>
              <w:t>指标</w:t>
            </w:r>
          </w:p>
        </w:tc>
        <w:tc>
          <w:tcPr>
            <w:tcW w:w="1213" w:type="dxa"/>
            <w:gridSpan w:val="2"/>
            <w:noWrap w:val="0"/>
            <w:vAlign w:val="top"/>
          </w:tcPr>
          <w:p w14:paraId="73FF00A7">
            <w:pPr>
              <w:rPr>
                <w:rFonts w:hint="default"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3B88F3DC">
            <w:pPr>
              <w:rPr>
                <w:rFonts w:hint="eastAsia" w:ascii="Arial" w:eastAsia="宋体"/>
                <w:kern w:val="2"/>
                <w:sz w:val="21"/>
                <w:lang w:val="en-US" w:eastAsia="zh-CN" w:bidi="ar-SA"/>
              </w:rPr>
            </w:pPr>
            <w:r>
              <w:rPr>
                <w:rFonts w:hint="eastAsia" w:ascii="Arial"/>
                <w:sz w:val="21"/>
                <w:lang w:val="en-US" w:eastAsia="zh-CN"/>
              </w:rPr>
              <w:t>人才公寓入住</w:t>
            </w:r>
          </w:p>
        </w:tc>
        <w:tc>
          <w:tcPr>
            <w:tcW w:w="1458" w:type="dxa"/>
            <w:noWrap w:val="0"/>
            <w:vAlign w:val="top"/>
          </w:tcPr>
          <w:p w14:paraId="46171E0A">
            <w:pPr>
              <w:rPr>
                <w:rFonts w:hint="default" w:ascii="Arial" w:eastAsia="宋体"/>
                <w:kern w:val="2"/>
                <w:sz w:val="21"/>
                <w:lang w:val="en-US" w:eastAsia="zh-CN" w:bidi="ar-SA"/>
              </w:rPr>
            </w:pPr>
            <w:r>
              <w:rPr>
                <w:rFonts w:hint="eastAsia" w:ascii="Arial" w:eastAsia="宋体"/>
                <w:sz w:val="21"/>
                <w:lang w:val="en-US" w:eastAsia="zh-CN"/>
              </w:rPr>
              <w:t>3</w:t>
            </w:r>
          </w:p>
        </w:tc>
        <w:tc>
          <w:tcPr>
            <w:tcW w:w="1318" w:type="dxa"/>
            <w:gridSpan w:val="2"/>
            <w:noWrap w:val="0"/>
            <w:vAlign w:val="top"/>
          </w:tcPr>
          <w:p w14:paraId="08BC6504">
            <w:pPr>
              <w:rPr>
                <w:rFonts w:hint="default" w:ascii="Arial" w:eastAsia="宋体"/>
                <w:kern w:val="2"/>
                <w:sz w:val="21"/>
                <w:lang w:val="en-US" w:eastAsia="zh-CN" w:bidi="ar-SA"/>
              </w:rPr>
            </w:pPr>
            <w:r>
              <w:rPr>
                <w:rFonts w:hint="eastAsia" w:ascii="Arial" w:eastAsia="宋体"/>
                <w:sz w:val="21"/>
                <w:lang w:val="en-US" w:eastAsia="zh-CN"/>
              </w:rPr>
              <w:t>3</w:t>
            </w:r>
          </w:p>
        </w:tc>
        <w:tc>
          <w:tcPr>
            <w:tcW w:w="884" w:type="dxa"/>
            <w:noWrap w:val="0"/>
            <w:vAlign w:val="top"/>
          </w:tcPr>
          <w:p w14:paraId="47664B08">
            <w:pPr>
              <w:rPr>
                <w:rFonts w:hint="default" w:ascii="Arial" w:eastAsia="宋体"/>
                <w:sz w:val="21"/>
                <w:lang w:val="en-US" w:eastAsia="zh-CN"/>
              </w:rPr>
            </w:pPr>
            <w:r>
              <w:rPr>
                <w:rFonts w:hint="eastAsia" w:ascii="Arial"/>
                <w:sz w:val="21"/>
                <w:lang w:val="en-US" w:eastAsia="zh-CN"/>
              </w:rPr>
              <w:t>25</w:t>
            </w:r>
          </w:p>
        </w:tc>
      </w:tr>
      <w:tr w14:paraId="4BD8E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80912E7">
            <w:pPr>
              <w:rPr>
                <w:rFonts w:ascii="Arial"/>
                <w:sz w:val="21"/>
              </w:rPr>
            </w:pPr>
          </w:p>
        </w:tc>
        <w:tc>
          <w:tcPr>
            <w:tcW w:w="689" w:type="dxa"/>
            <w:vMerge w:val="restart"/>
            <w:tcBorders>
              <w:bottom w:val="nil"/>
            </w:tcBorders>
            <w:noWrap w:val="0"/>
            <w:vAlign w:val="top"/>
          </w:tcPr>
          <w:p w14:paraId="05E52039">
            <w:pPr>
              <w:jc w:val="center"/>
              <w:rPr>
                <w:rFonts w:ascii="Calibri" w:hAnsi="Calibri" w:eastAsia="宋体" w:cs="Times New Roman"/>
                <w:b/>
                <w:bCs/>
              </w:rPr>
            </w:pPr>
          </w:p>
          <w:p w14:paraId="05210B89">
            <w:pPr>
              <w:jc w:val="center"/>
              <w:rPr>
                <w:rFonts w:ascii="Calibri" w:hAnsi="Calibri" w:eastAsia="宋体" w:cs="Times New Roman"/>
                <w:b/>
                <w:bCs/>
              </w:rPr>
            </w:pPr>
          </w:p>
          <w:p w14:paraId="10E72DD3">
            <w:pPr>
              <w:jc w:val="center"/>
              <w:rPr>
                <w:rFonts w:ascii="Calibri" w:hAnsi="Calibri" w:eastAsia="宋体" w:cs="Times New Roman"/>
                <w:b/>
                <w:bCs/>
              </w:rPr>
            </w:pPr>
          </w:p>
          <w:p w14:paraId="19E1292D">
            <w:pPr>
              <w:jc w:val="center"/>
              <w:rPr>
                <w:rFonts w:ascii="Calibri" w:hAnsi="Calibri" w:eastAsia="宋体" w:cs="Times New Roman"/>
                <w:b/>
                <w:bCs/>
              </w:rPr>
            </w:pPr>
            <w:r>
              <w:rPr>
                <w:rFonts w:ascii="Calibri" w:hAnsi="Calibri" w:eastAsia="宋体" w:cs="Times New Roman"/>
                <w:b/>
                <w:bCs/>
              </w:rPr>
              <w:t>效益 指标</w:t>
            </w:r>
          </w:p>
        </w:tc>
        <w:tc>
          <w:tcPr>
            <w:tcW w:w="1213" w:type="dxa"/>
            <w:gridSpan w:val="2"/>
            <w:noWrap w:val="0"/>
            <w:vAlign w:val="top"/>
          </w:tcPr>
          <w:p w14:paraId="6F3A6EDB">
            <w:pPr>
              <w:spacing w:before="211" w:line="169" w:lineRule="exact"/>
              <w:rPr>
                <w:rFonts w:ascii="宋体" w:hAnsi="宋体" w:eastAsia="宋体" w:cs="宋体"/>
                <w:sz w:val="11"/>
                <w:szCs w:val="11"/>
              </w:rPr>
            </w:pPr>
            <w:r>
              <w:rPr>
                <w:rFonts w:ascii="宋体" w:hAnsi="宋体" w:eastAsia="宋体" w:cs="宋体"/>
                <w:spacing w:val="-2"/>
                <w:sz w:val="21"/>
                <w:szCs w:val="21"/>
              </w:rPr>
              <w:t>数量指标</w:t>
            </w:r>
          </w:p>
        </w:tc>
        <w:tc>
          <w:tcPr>
            <w:tcW w:w="2553" w:type="dxa"/>
            <w:gridSpan w:val="3"/>
            <w:noWrap w:val="0"/>
            <w:vAlign w:val="top"/>
          </w:tcPr>
          <w:p w14:paraId="26CA0FD9">
            <w:pPr>
              <w:rPr>
                <w:rFonts w:hint="default" w:ascii="Arial" w:eastAsia="宋体"/>
                <w:kern w:val="2"/>
                <w:sz w:val="21"/>
                <w:lang w:val="en-US" w:eastAsia="zh-CN" w:bidi="ar-SA"/>
              </w:rPr>
            </w:pPr>
          </w:p>
        </w:tc>
        <w:tc>
          <w:tcPr>
            <w:tcW w:w="1458" w:type="dxa"/>
            <w:noWrap w:val="0"/>
            <w:vAlign w:val="top"/>
          </w:tcPr>
          <w:p w14:paraId="54E24190">
            <w:pPr>
              <w:rPr>
                <w:rFonts w:hint="default" w:ascii="Arial" w:eastAsia="宋体"/>
                <w:sz w:val="21"/>
                <w:lang w:val="en-US" w:eastAsia="zh-CN"/>
              </w:rPr>
            </w:pPr>
          </w:p>
        </w:tc>
        <w:tc>
          <w:tcPr>
            <w:tcW w:w="1318" w:type="dxa"/>
            <w:gridSpan w:val="2"/>
            <w:noWrap w:val="0"/>
            <w:vAlign w:val="top"/>
          </w:tcPr>
          <w:p w14:paraId="479A8FE1">
            <w:pPr>
              <w:rPr>
                <w:rFonts w:hint="default" w:ascii="Arial" w:eastAsia="宋体"/>
                <w:sz w:val="21"/>
                <w:lang w:val="en-US" w:eastAsia="zh-CN"/>
              </w:rPr>
            </w:pPr>
          </w:p>
        </w:tc>
        <w:tc>
          <w:tcPr>
            <w:tcW w:w="884" w:type="dxa"/>
            <w:noWrap w:val="0"/>
            <w:vAlign w:val="top"/>
          </w:tcPr>
          <w:p w14:paraId="51728AF2">
            <w:pPr>
              <w:rPr>
                <w:rFonts w:ascii="Arial"/>
                <w:sz w:val="21"/>
              </w:rPr>
            </w:pPr>
          </w:p>
        </w:tc>
      </w:tr>
      <w:tr w14:paraId="484C9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DA43A99">
            <w:pPr>
              <w:rPr>
                <w:rFonts w:ascii="Arial"/>
                <w:sz w:val="21"/>
              </w:rPr>
            </w:pPr>
          </w:p>
        </w:tc>
        <w:tc>
          <w:tcPr>
            <w:tcW w:w="689" w:type="dxa"/>
            <w:vMerge w:val="continue"/>
            <w:tcBorders>
              <w:top w:val="nil"/>
              <w:bottom w:val="nil"/>
            </w:tcBorders>
            <w:noWrap w:val="0"/>
            <w:vAlign w:val="top"/>
          </w:tcPr>
          <w:p w14:paraId="4218CD5A">
            <w:pPr>
              <w:jc w:val="center"/>
              <w:rPr>
                <w:rFonts w:ascii="Calibri" w:hAnsi="Calibri" w:eastAsia="宋体" w:cs="Times New Roman"/>
                <w:b/>
                <w:bCs/>
              </w:rPr>
            </w:pPr>
          </w:p>
        </w:tc>
        <w:tc>
          <w:tcPr>
            <w:tcW w:w="1213" w:type="dxa"/>
            <w:gridSpan w:val="2"/>
            <w:noWrap w:val="0"/>
            <w:vAlign w:val="top"/>
          </w:tcPr>
          <w:p w14:paraId="3E64CE27">
            <w:pPr>
              <w:spacing w:before="177" w:line="342" w:lineRule="exact"/>
              <w:rPr>
                <w:rFonts w:ascii="宋体" w:hAnsi="宋体" w:eastAsia="宋体" w:cs="宋体"/>
                <w:sz w:val="22"/>
                <w:szCs w:val="22"/>
              </w:rPr>
            </w:pPr>
            <w:r>
              <w:rPr>
                <w:rFonts w:hint="eastAsia" w:ascii="宋体" w:hAnsi="宋体" w:eastAsia="宋体" w:cs="宋体"/>
                <w:spacing w:val="-2"/>
                <w:sz w:val="21"/>
                <w:szCs w:val="21"/>
                <w:lang w:val="en-US" w:eastAsia="zh-CN"/>
              </w:rPr>
              <w:t>社会效益</w:t>
            </w:r>
            <w:r>
              <w:rPr>
                <w:rFonts w:ascii="宋体" w:hAnsi="宋体" w:eastAsia="宋体" w:cs="宋体"/>
                <w:spacing w:val="-2"/>
                <w:sz w:val="21"/>
                <w:szCs w:val="21"/>
              </w:rPr>
              <w:t>指标</w:t>
            </w:r>
          </w:p>
        </w:tc>
        <w:tc>
          <w:tcPr>
            <w:tcW w:w="2553" w:type="dxa"/>
            <w:gridSpan w:val="3"/>
            <w:noWrap w:val="0"/>
            <w:vAlign w:val="top"/>
          </w:tcPr>
          <w:p w14:paraId="1A23FBA1">
            <w:pPr>
              <w:rPr>
                <w:rFonts w:hint="default" w:ascii="Arial" w:eastAsia="宋体"/>
                <w:kern w:val="2"/>
                <w:sz w:val="21"/>
                <w:lang w:val="en-US" w:eastAsia="zh-CN" w:bidi="ar-SA"/>
              </w:rPr>
            </w:pPr>
            <w:r>
              <w:rPr>
                <w:rFonts w:hint="eastAsia" w:ascii="Arial"/>
                <w:sz w:val="21"/>
                <w:lang w:val="en-US" w:eastAsia="zh-CN"/>
              </w:rPr>
              <w:t>人才公寓入住</w:t>
            </w:r>
          </w:p>
        </w:tc>
        <w:tc>
          <w:tcPr>
            <w:tcW w:w="1458" w:type="dxa"/>
            <w:noWrap w:val="0"/>
            <w:vAlign w:val="top"/>
          </w:tcPr>
          <w:p w14:paraId="42F66596">
            <w:pPr>
              <w:rPr>
                <w:rFonts w:hint="default" w:ascii="Arial" w:eastAsia="宋体"/>
                <w:sz w:val="21"/>
                <w:lang w:val="en-US" w:eastAsia="zh-CN"/>
              </w:rPr>
            </w:pPr>
            <w:r>
              <w:rPr>
                <w:rFonts w:hint="eastAsia" w:ascii="Arial" w:eastAsia="宋体"/>
                <w:sz w:val="21"/>
                <w:lang w:val="en-US" w:eastAsia="zh-CN"/>
              </w:rPr>
              <w:t>良好</w:t>
            </w:r>
          </w:p>
        </w:tc>
        <w:tc>
          <w:tcPr>
            <w:tcW w:w="1318" w:type="dxa"/>
            <w:gridSpan w:val="2"/>
            <w:noWrap w:val="0"/>
            <w:vAlign w:val="top"/>
          </w:tcPr>
          <w:p w14:paraId="6223CB9F">
            <w:pPr>
              <w:rPr>
                <w:rFonts w:hint="default" w:ascii="Arial" w:eastAsia="宋体"/>
                <w:sz w:val="21"/>
                <w:lang w:val="en-US" w:eastAsia="zh-CN"/>
              </w:rPr>
            </w:pPr>
            <w:r>
              <w:rPr>
                <w:rFonts w:hint="eastAsia" w:ascii="Arial" w:eastAsia="宋体"/>
                <w:sz w:val="21"/>
                <w:lang w:val="en-US" w:eastAsia="zh-CN"/>
              </w:rPr>
              <w:t>良好</w:t>
            </w:r>
          </w:p>
        </w:tc>
        <w:tc>
          <w:tcPr>
            <w:tcW w:w="884" w:type="dxa"/>
            <w:noWrap w:val="0"/>
            <w:vAlign w:val="top"/>
          </w:tcPr>
          <w:p w14:paraId="5D450187">
            <w:pPr>
              <w:rPr>
                <w:rFonts w:hint="default" w:ascii="Arial" w:eastAsia="宋体"/>
                <w:sz w:val="21"/>
                <w:lang w:val="en-US" w:eastAsia="zh-CN"/>
              </w:rPr>
            </w:pPr>
            <w:r>
              <w:rPr>
                <w:rFonts w:hint="eastAsia" w:ascii="Arial"/>
                <w:sz w:val="21"/>
                <w:lang w:val="en-US" w:eastAsia="zh-CN"/>
              </w:rPr>
              <w:t>25</w:t>
            </w:r>
          </w:p>
        </w:tc>
      </w:tr>
      <w:tr w14:paraId="41E67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A477EB5">
            <w:pPr>
              <w:rPr>
                <w:rFonts w:ascii="Arial"/>
                <w:sz w:val="21"/>
              </w:rPr>
            </w:pPr>
          </w:p>
        </w:tc>
        <w:tc>
          <w:tcPr>
            <w:tcW w:w="689" w:type="dxa"/>
            <w:vMerge w:val="continue"/>
            <w:tcBorders>
              <w:top w:val="nil"/>
              <w:bottom w:val="nil"/>
            </w:tcBorders>
            <w:noWrap w:val="0"/>
            <w:vAlign w:val="top"/>
          </w:tcPr>
          <w:p w14:paraId="45390CD4">
            <w:pPr>
              <w:jc w:val="center"/>
              <w:rPr>
                <w:rFonts w:ascii="Calibri" w:hAnsi="Calibri" w:eastAsia="宋体" w:cs="Times New Roman"/>
                <w:b/>
                <w:bCs/>
              </w:rPr>
            </w:pPr>
          </w:p>
        </w:tc>
        <w:tc>
          <w:tcPr>
            <w:tcW w:w="1213" w:type="dxa"/>
            <w:gridSpan w:val="2"/>
            <w:noWrap w:val="0"/>
            <w:vAlign w:val="top"/>
          </w:tcPr>
          <w:p w14:paraId="294234EA">
            <w:pPr>
              <w:spacing w:before="178" w:line="340" w:lineRule="exact"/>
              <w:rPr>
                <w:rFonts w:ascii="宋体" w:hAnsi="宋体" w:eastAsia="宋体" w:cs="宋体"/>
                <w:sz w:val="22"/>
                <w:szCs w:val="22"/>
              </w:rPr>
            </w:pPr>
            <w:r>
              <w:rPr>
                <w:rFonts w:ascii="宋体" w:hAnsi="宋体" w:eastAsia="宋体" w:cs="宋体"/>
                <w:spacing w:val="-2"/>
                <w:sz w:val="21"/>
                <w:szCs w:val="21"/>
              </w:rPr>
              <w:t>数量指标</w:t>
            </w:r>
          </w:p>
        </w:tc>
        <w:tc>
          <w:tcPr>
            <w:tcW w:w="2553" w:type="dxa"/>
            <w:gridSpan w:val="3"/>
            <w:noWrap w:val="0"/>
            <w:vAlign w:val="top"/>
          </w:tcPr>
          <w:p w14:paraId="45880A01">
            <w:pPr>
              <w:rPr>
                <w:rFonts w:ascii="Arial"/>
                <w:sz w:val="21"/>
              </w:rPr>
            </w:pPr>
          </w:p>
        </w:tc>
        <w:tc>
          <w:tcPr>
            <w:tcW w:w="1458" w:type="dxa"/>
            <w:noWrap w:val="0"/>
            <w:vAlign w:val="top"/>
          </w:tcPr>
          <w:p w14:paraId="7E2863D3">
            <w:pPr>
              <w:rPr>
                <w:rFonts w:hint="default" w:ascii="Arial" w:eastAsia="宋体"/>
                <w:sz w:val="21"/>
                <w:lang w:val="en-US" w:eastAsia="zh-CN"/>
              </w:rPr>
            </w:pPr>
          </w:p>
        </w:tc>
        <w:tc>
          <w:tcPr>
            <w:tcW w:w="1318" w:type="dxa"/>
            <w:gridSpan w:val="2"/>
            <w:noWrap w:val="0"/>
            <w:vAlign w:val="top"/>
          </w:tcPr>
          <w:p w14:paraId="5986D86C">
            <w:pPr>
              <w:rPr>
                <w:rFonts w:hint="default" w:ascii="Arial" w:eastAsia="宋体"/>
                <w:sz w:val="21"/>
                <w:lang w:val="en-US" w:eastAsia="zh-CN"/>
              </w:rPr>
            </w:pPr>
          </w:p>
        </w:tc>
        <w:tc>
          <w:tcPr>
            <w:tcW w:w="884" w:type="dxa"/>
            <w:noWrap w:val="0"/>
            <w:vAlign w:val="top"/>
          </w:tcPr>
          <w:p w14:paraId="16DB816D">
            <w:pPr>
              <w:rPr>
                <w:rFonts w:ascii="Arial"/>
                <w:sz w:val="21"/>
              </w:rPr>
            </w:pPr>
          </w:p>
        </w:tc>
      </w:tr>
      <w:tr w14:paraId="3AA73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8F75B71">
            <w:pPr>
              <w:rPr>
                <w:rFonts w:ascii="Arial"/>
                <w:sz w:val="21"/>
              </w:rPr>
            </w:pPr>
          </w:p>
        </w:tc>
        <w:tc>
          <w:tcPr>
            <w:tcW w:w="689" w:type="dxa"/>
            <w:vMerge w:val="continue"/>
            <w:tcBorders>
              <w:top w:val="nil"/>
            </w:tcBorders>
            <w:noWrap w:val="0"/>
            <w:vAlign w:val="top"/>
          </w:tcPr>
          <w:p w14:paraId="7ED41659">
            <w:pPr>
              <w:jc w:val="center"/>
              <w:rPr>
                <w:rFonts w:ascii="Calibri" w:hAnsi="Calibri" w:eastAsia="宋体" w:cs="Times New Roman"/>
                <w:b/>
                <w:bCs/>
              </w:rPr>
            </w:pPr>
          </w:p>
        </w:tc>
        <w:tc>
          <w:tcPr>
            <w:tcW w:w="1213" w:type="dxa"/>
            <w:gridSpan w:val="2"/>
            <w:noWrap w:val="0"/>
            <w:vAlign w:val="top"/>
          </w:tcPr>
          <w:p w14:paraId="200CA6AF">
            <w:pPr>
              <w:rPr>
                <w:rFonts w:ascii="Arial"/>
                <w:sz w:val="21"/>
              </w:rPr>
            </w:pPr>
            <w:r>
              <w:rPr>
                <w:rFonts w:ascii="宋体" w:hAnsi="宋体" w:eastAsia="宋体" w:cs="宋体"/>
                <w:spacing w:val="-2"/>
                <w:sz w:val="21"/>
                <w:szCs w:val="21"/>
              </w:rPr>
              <w:t>数量指标</w:t>
            </w:r>
          </w:p>
        </w:tc>
        <w:tc>
          <w:tcPr>
            <w:tcW w:w="2553" w:type="dxa"/>
            <w:gridSpan w:val="3"/>
            <w:noWrap w:val="0"/>
            <w:vAlign w:val="top"/>
          </w:tcPr>
          <w:p w14:paraId="7BF32FE3">
            <w:pPr>
              <w:rPr>
                <w:rFonts w:ascii="Arial"/>
                <w:sz w:val="21"/>
              </w:rPr>
            </w:pPr>
          </w:p>
        </w:tc>
        <w:tc>
          <w:tcPr>
            <w:tcW w:w="1458" w:type="dxa"/>
            <w:noWrap w:val="0"/>
            <w:vAlign w:val="top"/>
          </w:tcPr>
          <w:p w14:paraId="0D989CF7">
            <w:pPr>
              <w:rPr>
                <w:rFonts w:ascii="Arial"/>
                <w:sz w:val="21"/>
              </w:rPr>
            </w:pPr>
          </w:p>
        </w:tc>
        <w:tc>
          <w:tcPr>
            <w:tcW w:w="1318" w:type="dxa"/>
            <w:gridSpan w:val="2"/>
            <w:noWrap w:val="0"/>
            <w:vAlign w:val="top"/>
          </w:tcPr>
          <w:p w14:paraId="4501283C">
            <w:pPr>
              <w:rPr>
                <w:rFonts w:ascii="Arial"/>
                <w:sz w:val="21"/>
              </w:rPr>
            </w:pPr>
          </w:p>
        </w:tc>
        <w:tc>
          <w:tcPr>
            <w:tcW w:w="884" w:type="dxa"/>
            <w:noWrap w:val="0"/>
            <w:vAlign w:val="top"/>
          </w:tcPr>
          <w:p w14:paraId="61219B1D">
            <w:pPr>
              <w:rPr>
                <w:rFonts w:ascii="Arial"/>
                <w:sz w:val="21"/>
              </w:rPr>
            </w:pPr>
          </w:p>
        </w:tc>
      </w:tr>
      <w:tr w14:paraId="7BB74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0BAF4CEA">
            <w:pPr>
              <w:rPr>
                <w:rFonts w:ascii="Arial"/>
                <w:sz w:val="21"/>
              </w:rPr>
            </w:pPr>
          </w:p>
        </w:tc>
        <w:tc>
          <w:tcPr>
            <w:tcW w:w="689" w:type="dxa"/>
            <w:vMerge w:val="restart"/>
            <w:tcBorders>
              <w:bottom w:val="nil"/>
            </w:tcBorders>
            <w:noWrap w:val="0"/>
            <w:vAlign w:val="top"/>
          </w:tcPr>
          <w:p w14:paraId="6F632BE6">
            <w:pPr>
              <w:jc w:val="center"/>
              <w:rPr>
                <w:rFonts w:ascii="Calibri" w:hAnsi="Calibri" w:eastAsia="宋体" w:cs="Times New Roman"/>
                <w:b/>
                <w:bCs/>
              </w:rPr>
            </w:pPr>
            <w:r>
              <w:rPr>
                <w:rFonts w:ascii="Calibri" w:hAnsi="Calibri" w:eastAsia="宋体" w:cs="Times New Roman"/>
                <w:b/>
                <w:bCs/>
              </w:rPr>
              <w:t>满意</w:t>
            </w:r>
          </w:p>
          <w:p w14:paraId="046E8F31">
            <w:pPr>
              <w:jc w:val="center"/>
              <w:rPr>
                <w:rFonts w:ascii="Calibri" w:hAnsi="Calibri" w:eastAsia="宋体" w:cs="Times New Roman"/>
                <w:b/>
                <w:bCs/>
              </w:rPr>
            </w:pPr>
            <w:r>
              <w:rPr>
                <w:rFonts w:ascii="Calibri" w:hAnsi="Calibri" w:eastAsia="宋体" w:cs="Times New Roman"/>
                <w:b/>
                <w:bCs/>
              </w:rPr>
              <w:t>度指</w:t>
            </w:r>
          </w:p>
          <w:p w14:paraId="5C44D9EC">
            <w:pPr>
              <w:jc w:val="center"/>
              <w:rPr>
                <w:rFonts w:ascii="Calibri" w:hAnsi="Calibri" w:eastAsia="宋体" w:cs="Times New Roman"/>
                <w:b/>
                <w:bCs/>
              </w:rPr>
            </w:pPr>
            <w:r>
              <w:rPr>
                <w:rFonts w:ascii="Calibri" w:hAnsi="Calibri" w:eastAsia="宋体" w:cs="Times New Roman"/>
                <w:b/>
                <w:bCs/>
              </w:rPr>
              <w:t>标</w:t>
            </w:r>
          </w:p>
        </w:tc>
        <w:tc>
          <w:tcPr>
            <w:tcW w:w="1213" w:type="dxa"/>
            <w:gridSpan w:val="2"/>
            <w:noWrap w:val="0"/>
            <w:vAlign w:val="top"/>
          </w:tcPr>
          <w:p w14:paraId="39DBFB48">
            <w:pPr>
              <w:spacing w:before="224" w:line="173" w:lineRule="exact"/>
              <w:rPr>
                <w:rFonts w:hint="default" w:ascii="宋体" w:hAnsi="宋体" w:eastAsia="宋体" w:cs="宋体"/>
                <w:sz w:val="11"/>
                <w:szCs w:val="11"/>
                <w:lang w:val="en-US" w:eastAsia="zh-CN"/>
              </w:rPr>
            </w:pPr>
            <w:r>
              <w:rPr>
                <w:rFonts w:hint="eastAsia" w:ascii="宋体" w:hAnsi="宋体" w:eastAsia="宋体" w:cs="宋体"/>
                <w:spacing w:val="-2"/>
                <w:sz w:val="21"/>
                <w:szCs w:val="21"/>
                <w:lang w:val="en-US" w:eastAsia="zh-CN"/>
              </w:rPr>
              <w:t>群众满意度</w:t>
            </w:r>
          </w:p>
        </w:tc>
        <w:tc>
          <w:tcPr>
            <w:tcW w:w="2553" w:type="dxa"/>
            <w:gridSpan w:val="3"/>
            <w:noWrap w:val="0"/>
            <w:vAlign w:val="top"/>
          </w:tcPr>
          <w:p w14:paraId="7D765148">
            <w:pPr>
              <w:rPr>
                <w:rFonts w:hint="default" w:ascii="Arial" w:eastAsia="宋体"/>
                <w:sz w:val="21"/>
                <w:lang w:val="en-US" w:eastAsia="zh-CN"/>
              </w:rPr>
            </w:pPr>
            <w:r>
              <w:rPr>
                <w:rFonts w:hint="eastAsia" w:ascii="Arial"/>
                <w:sz w:val="21"/>
                <w:lang w:val="en-US" w:eastAsia="zh-CN"/>
              </w:rPr>
              <w:t>100%</w:t>
            </w:r>
          </w:p>
        </w:tc>
        <w:tc>
          <w:tcPr>
            <w:tcW w:w="1458" w:type="dxa"/>
            <w:noWrap w:val="0"/>
            <w:vAlign w:val="top"/>
          </w:tcPr>
          <w:p w14:paraId="0406641A">
            <w:pPr>
              <w:rPr>
                <w:rFonts w:ascii="Arial"/>
                <w:sz w:val="21"/>
              </w:rPr>
            </w:pPr>
            <w:r>
              <w:rPr>
                <w:rFonts w:hint="eastAsia" w:ascii="Arial"/>
                <w:sz w:val="21"/>
                <w:lang w:val="en-US" w:eastAsia="zh-CN"/>
              </w:rPr>
              <w:t>100%</w:t>
            </w:r>
          </w:p>
        </w:tc>
        <w:tc>
          <w:tcPr>
            <w:tcW w:w="1318" w:type="dxa"/>
            <w:gridSpan w:val="2"/>
            <w:noWrap w:val="0"/>
            <w:vAlign w:val="top"/>
          </w:tcPr>
          <w:p w14:paraId="5250BDF1">
            <w:pPr>
              <w:rPr>
                <w:rFonts w:ascii="Arial"/>
                <w:sz w:val="21"/>
              </w:rPr>
            </w:pPr>
            <w:r>
              <w:rPr>
                <w:rFonts w:hint="eastAsia" w:ascii="Arial"/>
                <w:sz w:val="21"/>
                <w:lang w:val="en-US" w:eastAsia="zh-CN"/>
              </w:rPr>
              <w:t>100%</w:t>
            </w:r>
          </w:p>
        </w:tc>
        <w:tc>
          <w:tcPr>
            <w:tcW w:w="884" w:type="dxa"/>
            <w:noWrap w:val="0"/>
            <w:vAlign w:val="top"/>
          </w:tcPr>
          <w:p w14:paraId="5DFA88B1">
            <w:pPr>
              <w:rPr>
                <w:rFonts w:hint="default" w:ascii="Arial" w:eastAsia="宋体"/>
                <w:sz w:val="21"/>
                <w:lang w:val="en-US" w:eastAsia="zh-CN"/>
              </w:rPr>
            </w:pPr>
            <w:r>
              <w:rPr>
                <w:rFonts w:hint="eastAsia" w:ascii="Arial"/>
                <w:sz w:val="21"/>
                <w:lang w:val="en-US" w:eastAsia="zh-CN"/>
              </w:rPr>
              <w:t>20</w:t>
            </w:r>
          </w:p>
        </w:tc>
      </w:tr>
      <w:tr w14:paraId="6492E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5DD18F99">
            <w:pPr>
              <w:rPr>
                <w:rFonts w:ascii="Arial"/>
                <w:sz w:val="21"/>
              </w:rPr>
            </w:pPr>
          </w:p>
        </w:tc>
        <w:tc>
          <w:tcPr>
            <w:tcW w:w="689" w:type="dxa"/>
            <w:vMerge w:val="continue"/>
            <w:tcBorders>
              <w:top w:val="nil"/>
            </w:tcBorders>
            <w:noWrap w:val="0"/>
            <w:vAlign w:val="top"/>
          </w:tcPr>
          <w:p w14:paraId="29B83BF0">
            <w:pPr>
              <w:rPr>
                <w:rFonts w:ascii="Arial"/>
                <w:sz w:val="21"/>
              </w:rPr>
            </w:pPr>
          </w:p>
        </w:tc>
        <w:tc>
          <w:tcPr>
            <w:tcW w:w="1213" w:type="dxa"/>
            <w:gridSpan w:val="2"/>
            <w:noWrap w:val="0"/>
            <w:vAlign w:val="top"/>
          </w:tcPr>
          <w:p w14:paraId="56C8A912">
            <w:pPr>
              <w:rPr>
                <w:rFonts w:ascii="Arial"/>
                <w:sz w:val="21"/>
              </w:rPr>
            </w:pPr>
          </w:p>
        </w:tc>
        <w:tc>
          <w:tcPr>
            <w:tcW w:w="2553" w:type="dxa"/>
            <w:gridSpan w:val="3"/>
            <w:noWrap w:val="0"/>
            <w:vAlign w:val="top"/>
          </w:tcPr>
          <w:p w14:paraId="4E55298A">
            <w:pPr>
              <w:rPr>
                <w:rFonts w:ascii="Arial"/>
                <w:sz w:val="21"/>
              </w:rPr>
            </w:pPr>
          </w:p>
        </w:tc>
        <w:tc>
          <w:tcPr>
            <w:tcW w:w="1458" w:type="dxa"/>
            <w:noWrap w:val="0"/>
            <w:vAlign w:val="top"/>
          </w:tcPr>
          <w:p w14:paraId="23C169CB">
            <w:pPr>
              <w:rPr>
                <w:rFonts w:ascii="Arial"/>
                <w:sz w:val="21"/>
              </w:rPr>
            </w:pPr>
          </w:p>
        </w:tc>
        <w:tc>
          <w:tcPr>
            <w:tcW w:w="1318" w:type="dxa"/>
            <w:gridSpan w:val="2"/>
            <w:noWrap w:val="0"/>
            <w:vAlign w:val="top"/>
          </w:tcPr>
          <w:p w14:paraId="2807C096">
            <w:pPr>
              <w:rPr>
                <w:rFonts w:ascii="Arial"/>
                <w:sz w:val="21"/>
              </w:rPr>
            </w:pPr>
          </w:p>
        </w:tc>
        <w:tc>
          <w:tcPr>
            <w:tcW w:w="884" w:type="dxa"/>
            <w:noWrap w:val="0"/>
            <w:vAlign w:val="top"/>
          </w:tcPr>
          <w:p w14:paraId="74E5030D">
            <w:pPr>
              <w:rPr>
                <w:rFonts w:ascii="Arial"/>
                <w:sz w:val="21"/>
              </w:rPr>
            </w:pPr>
          </w:p>
        </w:tc>
      </w:tr>
      <w:tr w14:paraId="50085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58F4E50A">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65804BE3">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72C10924">
            <w:pPr>
              <w:rPr>
                <w:rFonts w:ascii="Arial"/>
                <w:sz w:val="21"/>
              </w:rPr>
            </w:pPr>
          </w:p>
        </w:tc>
        <w:tc>
          <w:tcPr>
            <w:tcW w:w="1213" w:type="dxa"/>
            <w:gridSpan w:val="2"/>
            <w:noWrap w:val="0"/>
            <w:vAlign w:val="top"/>
          </w:tcPr>
          <w:p w14:paraId="6654ECB8">
            <w:pPr>
              <w:rPr>
                <w:rFonts w:ascii="Arial"/>
                <w:sz w:val="21"/>
              </w:rPr>
            </w:pPr>
          </w:p>
        </w:tc>
        <w:tc>
          <w:tcPr>
            <w:tcW w:w="2553" w:type="dxa"/>
            <w:gridSpan w:val="3"/>
            <w:noWrap w:val="0"/>
            <w:vAlign w:val="top"/>
          </w:tcPr>
          <w:p w14:paraId="32607E7C">
            <w:pPr>
              <w:rPr>
                <w:rFonts w:ascii="Arial"/>
                <w:sz w:val="21"/>
              </w:rPr>
            </w:pPr>
          </w:p>
        </w:tc>
        <w:tc>
          <w:tcPr>
            <w:tcW w:w="1458" w:type="dxa"/>
            <w:noWrap w:val="0"/>
            <w:vAlign w:val="top"/>
          </w:tcPr>
          <w:p w14:paraId="0FEF359D">
            <w:pPr>
              <w:rPr>
                <w:rFonts w:ascii="Arial"/>
                <w:sz w:val="21"/>
              </w:rPr>
            </w:pPr>
          </w:p>
        </w:tc>
        <w:tc>
          <w:tcPr>
            <w:tcW w:w="1318" w:type="dxa"/>
            <w:gridSpan w:val="2"/>
            <w:noWrap w:val="0"/>
            <w:vAlign w:val="top"/>
          </w:tcPr>
          <w:p w14:paraId="0668B91D">
            <w:pPr>
              <w:rPr>
                <w:rFonts w:ascii="Arial"/>
                <w:sz w:val="21"/>
              </w:rPr>
            </w:pPr>
          </w:p>
        </w:tc>
        <w:tc>
          <w:tcPr>
            <w:tcW w:w="884" w:type="dxa"/>
            <w:noWrap w:val="0"/>
            <w:vAlign w:val="top"/>
          </w:tcPr>
          <w:p w14:paraId="63B2A8FB">
            <w:pPr>
              <w:rPr>
                <w:rFonts w:ascii="Arial"/>
                <w:sz w:val="21"/>
              </w:rPr>
            </w:pPr>
          </w:p>
        </w:tc>
      </w:tr>
      <w:tr w14:paraId="72F1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6152A48D">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7043E19A">
            <w:pPr>
              <w:rPr>
                <w:rFonts w:ascii="Arial"/>
                <w:sz w:val="21"/>
              </w:rPr>
            </w:pPr>
          </w:p>
        </w:tc>
        <w:tc>
          <w:tcPr>
            <w:tcW w:w="1213" w:type="dxa"/>
            <w:gridSpan w:val="2"/>
            <w:noWrap w:val="0"/>
            <w:vAlign w:val="top"/>
          </w:tcPr>
          <w:p w14:paraId="7F188652">
            <w:pPr>
              <w:rPr>
                <w:rFonts w:ascii="Arial"/>
                <w:sz w:val="21"/>
              </w:rPr>
            </w:pPr>
          </w:p>
        </w:tc>
        <w:tc>
          <w:tcPr>
            <w:tcW w:w="2553" w:type="dxa"/>
            <w:gridSpan w:val="3"/>
            <w:noWrap w:val="0"/>
            <w:vAlign w:val="top"/>
          </w:tcPr>
          <w:p w14:paraId="052B39A2">
            <w:pPr>
              <w:rPr>
                <w:rFonts w:ascii="Arial"/>
                <w:sz w:val="21"/>
              </w:rPr>
            </w:pPr>
          </w:p>
        </w:tc>
        <w:tc>
          <w:tcPr>
            <w:tcW w:w="1458" w:type="dxa"/>
            <w:noWrap w:val="0"/>
            <w:vAlign w:val="top"/>
          </w:tcPr>
          <w:p w14:paraId="799F90EC">
            <w:pPr>
              <w:rPr>
                <w:rFonts w:ascii="Arial"/>
                <w:sz w:val="21"/>
              </w:rPr>
            </w:pPr>
          </w:p>
        </w:tc>
        <w:tc>
          <w:tcPr>
            <w:tcW w:w="1318" w:type="dxa"/>
            <w:gridSpan w:val="2"/>
            <w:noWrap w:val="0"/>
            <w:vAlign w:val="top"/>
          </w:tcPr>
          <w:p w14:paraId="4974F4E5">
            <w:pPr>
              <w:rPr>
                <w:rFonts w:ascii="Arial"/>
                <w:sz w:val="21"/>
              </w:rPr>
            </w:pPr>
          </w:p>
        </w:tc>
        <w:tc>
          <w:tcPr>
            <w:tcW w:w="884" w:type="dxa"/>
            <w:noWrap w:val="0"/>
            <w:vAlign w:val="top"/>
          </w:tcPr>
          <w:p w14:paraId="3898633E">
            <w:pPr>
              <w:rPr>
                <w:rFonts w:ascii="Arial"/>
                <w:sz w:val="21"/>
              </w:rPr>
            </w:pPr>
          </w:p>
        </w:tc>
      </w:tr>
      <w:tr w14:paraId="5FDCF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706FC2B">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196514EC">
            <w:pPr>
              <w:jc w:val="center"/>
              <w:rPr>
                <w:rFonts w:hint="default" w:ascii="Arial" w:eastAsia="宋体"/>
                <w:sz w:val="21"/>
                <w:lang w:val="en-US" w:eastAsia="zh-CN"/>
              </w:rPr>
            </w:pPr>
            <w:r>
              <w:rPr>
                <w:rFonts w:hint="eastAsia" w:ascii="Arial"/>
                <w:sz w:val="21"/>
                <w:lang w:val="en-US" w:eastAsia="zh-CN"/>
              </w:rPr>
              <w:t>90</w:t>
            </w:r>
          </w:p>
        </w:tc>
      </w:tr>
      <w:tr w14:paraId="13039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523" w:type="dxa"/>
            <w:gridSpan w:val="3"/>
            <w:noWrap w:val="0"/>
            <w:vAlign w:val="top"/>
          </w:tcPr>
          <w:p w14:paraId="316D1A5A">
            <w:pPr>
              <w:spacing w:line="242" w:lineRule="auto"/>
              <w:rPr>
                <w:rFonts w:ascii="Arial"/>
                <w:b/>
                <w:bCs/>
                <w:sz w:val="21"/>
              </w:rPr>
            </w:pPr>
          </w:p>
          <w:p w14:paraId="72EDFE28">
            <w:pPr>
              <w:jc w:val="center"/>
              <w:rPr>
                <w:b/>
                <w:bCs/>
              </w:rPr>
            </w:pPr>
            <w:r>
              <w:rPr>
                <w:b/>
                <w:bCs/>
              </w:rPr>
              <w:t>偏差大或</w:t>
            </w:r>
          </w:p>
          <w:p w14:paraId="0B37C778">
            <w:pPr>
              <w:jc w:val="center"/>
              <w:rPr>
                <w:b/>
                <w:bCs/>
              </w:rPr>
            </w:pPr>
            <w:r>
              <w:rPr>
                <w:b/>
                <w:bCs/>
              </w:rPr>
              <w:t>目标未完成</w:t>
            </w:r>
          </w:p>
          <w:p w14:paraId="57398ED8">
            <w:pPr>
              <w:jc w:val="center"/>
              <w:rPr>
                <w:rFonts w:ascii="宋体" w:hAnsi="宋体" w:eastAsia="宋体" w:cs="宋体"/>
                <w:sz w:val="20"/>
                <w:szCs w:val="20"/>
              </w:rPr>
            </w:pPr>
            <w:r>
              <w:rPr>
                <w:b/>
                <w:bCs/>
              </w:rPr>
              <w:t>原因分析</w:t>
            </w:r>
          </w:p>
        </w:tc>
        <w:tc>
          <w:tcPr>
            <w:tcW w:w="7406" w:type="dxa"/>
            <w:gridSpan w:val="8"/>
            <w:noWrap w:val="0"/>
            <w:vAlign w:val="top"/>
          </w:tcPr>
          <w:p w14:paraId="7AE1E65F">
            <w:pPr>
              <w:jc w:val="center"/>
              <w:rPr>
                <w:rFonts w:hint="default" w:ascii="Arial" w:eastAsia="宋体"/>
                <w:sz w:val="21"/>
                <w:lang w:val="en-US" w:eastAsia="zh-CN"/>
              </w:rPr>
            </w:pPr>
            <w:r>
              <w:rPr>
                <w:rFonts w:hint="eastAsia" w:ascii="Arial" w:eastAsia="宋体"/>
                <w:sz w:val="21"/>
                <w:lang w:val="en-US" w:eastAsia="zh-CN"/>
              </w:rPr>
              <w:t>无</w:t>
            </w:r>
          </w:p>
        </w:tc>
      </w:tr>
      <w:tr w14:paraId="5DAE3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14:paraId="29A665E2">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2BB35111">
            <w:pPr>
              <w:jc w:val="center"/>
              <w:rPr>
                <w:rFonts w:hint="eastAsia" w:ascii="Arial" w:eastAsia="宋体"/>
                <w:sz w:val="21"/>
                <w:lang w:eastAsia="zh-CN"/>
              </w:rPr>
            </w:pPr>
            <w:r>
              <w:rPr>
                <w:rFonts w:hint="eastAsia" w:ascii="Arial"/>
                <w:sz w:val="21"/>
                <w:lang w:eastAsia="zh-CN"/>
              </w:rPr>
              <w:t>无</w:t>
            </w:r>
          </w:p>
        </w:tc>
      </w:tr>
    </w:tbl>
    <w:p w14:paraId="0EF0F3D4">
      <w:pPr>
        <w:rPr>
          <w:rFonts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2.干部招录、职称晋岗评审及档案管理经费绩效自评：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项目全年预算数为70万元，其中：一般公共预算财政拨款70万元。执行数为70万元，完成预算100%。主要是受疫情影响，部分业务未完成。</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主要产出和效益：一是及时完成黄石市下陆区招录公务员、事业单位和区聘人员工作；二是完成全区专业技术人员职称改革、 组织评审、资格认证、继续教育等，三是提升窗口服务能力，改进工作作风，切实解决好、经办管理服务，达到人民满意度100%。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效益指标：提升窗口服务能力，改进工作作风，切实解决好、经办管理服务达到人民满意，让人民老有所依。</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服务对象满意度指标：提高居民满意度达90%。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下一步改进措施：结合以往年度实际情况，科学测算相关工作经费预算，进一步提高预算编制的准确性。</w:t>
      </w:r>
    </w:p>
    <w:p w14:paraId="083F5414">
      <w:pPr>
        <w:jc w:val="center"/>
        <w:rPr>
          <w:rFonts w:ascii="Arial" w:hAnsi="Arial" w:eastAsia="宋体" w:cs="Arial"/>
          <w:color w:val="000000"/>
          <w:sz w:val="27"/>
          <w:szCs w:val="27"/>
          <w:shd w:val="clear" w:color="auto" w:fill="FFFFFF"/>
        </w:rPr>
      </w:pPr>
      <w:r>
        <w:rPr>
          <w:rStyle w:val="8"/>
          <w:rFonts w:ascii="Arial" w:hAnsi="Arial" w:eastAsia="宋体" w:cs="Arial"/>
          <w:color w:val="000000"/>
          <w:sz w:val="27"/>
          <w:szCs w:val="27"/>
          <w:shd w:val="clear" w:color="auto" w:fill="FFFFFF"/>
        </w:rPr>
        <w:t>干部招录、职称晋岗评审及档案管理经费绩效自评</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193"/>
        <w:gridCol w:w="1235"/>
        <w:gridCol w:w="949"/>
        <w:gridCol w:w="369"/>
        <w:gridCol w:w="1458"/>
        <w:gridCol w:w="689"/>
        <w:gridCol w:w="629"/>
        <w:gridCol w:w="884"/>
      </w:tblGrid>
      <w:tr w14:paraId="00D6C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25EB5747">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3115EFE2">
            <w:pPr>
              <w:rPr>
                <w:rFonts w:ascii="Arial"/>
                <w:sz w:val="21"/>
              </w:rPr>
            </w:pPr>
            <w:r>
              <w:rPr>
                <w:rFonts w:ascii="宋体" w:hAnsi="宋体" w:eastAsia="宋体" w:cs="宋体"/>
                <w:spacing w:val="2"/>
                <w:sz w:val="22"/>
                <w:szCs w:val="22"/>
              </w:rPr>
              <w:t>干部招录</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val="en-US" w:eastAsia="zh-CN"/>
              </w:rPr>
              <w:t>职称评审、档案管理</w:t>
            </w:r>
          </w:p>
        </w:tc>
      </w:tr>
      <w:tr w14:paraId="47AE1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CAA835E">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77B19BD5">
            <w:pPr>
              <w:rPr>
                <w:rFonts w:ascii="Arial"/>
                <w:sz w:val="21"/>
              </w:rPr>
            </w:pPr>
            <w:r>
              <w:rPr>
                <w:rFonts w:hint="eastAsia" w:ascii="仿宋_GB2312" w:hAnsi="宋体" w:eastAsia="仿宋_GB2312" w:cs="仿宋_GB2312"/>
                <w:i w:val="0"/>
                <w:color w:val="000000"/>
                <w:kern w:val="0"/>
                <w:sz w:val="20"/>
                <w:szCs w:val="20"/>
                <w:u w:val="none"/>
                <w:lang w:val="en-US" w:eastAsia="zh-CN" w:bidi="ar"/>
              </w:rPr>
              <w:t>下陆区人力资源和社会保障局</w:t>
            </w:r>
          </w:p>
        </w:tc>
        <w:tc>
          <w:tcPr>
            <w:tcW w:w="2516" w:type="dxa"/>
            <w:gridSpan w:val="3"/>
            <w:noWrap w:val="0"/>
            <w:vAlign w:val="top"/>
          </w:tcPr>
          <w:p w14:paraId="4F94928F">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5AD30E18">
            <w:pPr>
              <w:rPr>
                <w:rFonts w:hint="eastAsia" w:ascii="Arial" w:eastAsia="宋体"/>
                <w:sz w:val="21"/>
                <w:lang w:val="en-US" w:eastAsia="zh-CN"/>
              </w:rPr>
            </w:pPr>
            <w:r>
              <w:rPr>
                <w:rFonts w:hint="eastAsia" w:ascii="Arial"/>
                <w:sz w:val="21"/>
                <w:lang w:val="en-US" w:eastAsia="zh-CN"/>
              </w:rPr>
              <w:t>人社局</w:t>
            </w:r>
          </w:p>
        </w:tc>
      </w:tr>
      <w:tr w14:paraId="78686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4756F6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201F917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5ED1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414B7C51">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6F58917A">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48AB2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E375FA1">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1A097E4B">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0A6BF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57B71F61">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789D1830">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78F29195">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213" w:type="dxa"/>
            <w:gridSpan w:val="2"/>
            <w:noWrap w:val="0"/>
            <w:vAlign w:val="top"/>
          </w:tcPr>
          <w:p w14:paraId="45213418">
            <w:pPr>
              <w:rPr>
                <w:rFonts w:ascii="Arial"/>
                <w:sz w:val="21"/>
              </w:rPr>
            </w:pPr>
          </w:p>
        </w:tc>
        <w:tc>
          <w:tcPr>
            <w:tcW w:w="1235" w:type="dxa"/>
            <w:noWrap w:val="0"/>
            <w:vAlign w:val="top"/>
          </w:tcPr>
          <w:p w14:paraId="7A44E5AE">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25460658">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699D4954">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8ABCB8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D3E379C">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8B1C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39FAFF44">
            <w:pPr>
              <w:rPr>
                <w:rFonts w:ascii="Arial"/>
                <w:sz w:val="21"/>
              </w:rPr>
            </w:pPr>
          </w:p>
        </w:tc>
        <w:tc>
          <w:tcPr>
            <w:tcW w:w="1213" w:type="dxa"/>
            <w:gridSpan w:val="2"/>
            <w:noWrap w:val="0"/>
            <w:vAlign w:val="top"/>
          </w:tcPr>
          <w:p w14:paraId="65AA21CE">
            <w:pPr>
              <w:spacing w:before="59" w:line="215" w:lineRule="auto"/>
              <w:ind w:left="112" w:right="108"/>
              <w:rPr>
                <w:rFonts w:ascii="宋体" w:hAnsi="宋体" w:eastAsia="宋体" w:cs="宋体"/>
                <w:sz w:val="21"/>
                <w:szCs w:val="21"/>
              </w:rPr>
            </w:pPr>
            <w:r>
              <w:t>年度财政 资金总额</w:t>
            </w:r>
          </w:p>
        </w:tc>
        <w:tc>
          <w:tcPr>
            <w:tcW w:w="1235" w:type="dxa"/>
            <w:noWrap w:val="0"/>
            <w:vAlign w:val="top"/>
          </w:tcPr>
          <w:p w14:paraId="75C286E0">
            <w:pPr>
              <w:rPr>
                <w:rFonts w:hint="default" w:ascii="Arial" w:eastAsia="宋体"/>
                <w:sz w:val="21"/>
                <w:lang w:val="en-US" w:eastAsia="zh-CN"/>
              </w:rPr>
            </w:pPr>
            <w:r>
              <w:rPr>
                <w:rFonts w:hint="eastAsia" w:ascii="Arial" w:eastAsia="宋体"/>
                <w:sz w:val="21"/>
                <w:lang w:val="en-US" w:eastAsia="zh-CN"/>
              </w:rPr>
              <w:t>70</w:t>
            </w:r>
          </w:p>
        </w:tc>
        <w:tc>
          <w:tcPr>
            <w:tcW w:w="1318" w:type="dxa"/>
            <w:gridSpan w:val="2"/>
            <w:noWrap w:val="0"/>
            <w:vAlign w:val="top"/>
          </w:tcPr>
          <w:p w14:paraId="60C3EACE">
            <w:pPr>
              <w:rPr>
                <w:rFonts w:hint="default" w:ascii="Arial" w:eastAsia="宋体"/>
                <w:sz w:val="21"/>
                <w:lang w:val="en-US" w:eastAsia="zh-CN"/>
              </w:rPr>
            </w:pPr>
            <w:r>
              <w:rPr>
                <w:rFonts w:hint="eastAsia" w:ascii="Arial" w:eastAsia="宋体"/>
                <w:sz w:val="21"/>
                <w:lang w:val="en-US" w:eastAsia="zh-CN"/>
              </w:rPr>
              <w:t>70</w:t>
            </w:r>
          </w:p>
        </w:tc>
        <w:tc>
          <w:tcPr>
            <w:tcW w:w="1458" w:type="dxa"/>
            <w:noWrap w:val="0"/>
            <w:vAlign w:val="top"/>
          </w:tcPr>
          <w:p w14:paraId="35C28A45">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14CE100F">
            <w:pPr>
              <w:rPr>
                <w:rFonts w:hint="default" w:ascii="Arial" w:eastAsia="宋体"/>
                <w:sz w:val="21"/>
                <w:lang w:val="en-US" w:eastAsia="zh-CN"/>
              </w:rPr>
            </w:pPr>
            <w:r>
              <w:rPr>
                <w:rFonts w:hint="eastAsia" w:ascii="Arial"/>
                <w:sz w:val="21"/>
                <w:lang w:val="en-US" w:eastAsia="zh-CN"/>
              </w:rPr>
              <w:t>20</w:t>
            </w:r>
          </w:p>
        </w:tc>
      </w:tr>
      <w:tr w14:paraId="6D1DF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F0408B5">
            <w:pPr>
              <w:spacing w:line="269" w:lineRule="auto"/>
              <w:rPr>
                <w:rFonts w:ascii="Arial"/>
                <w:sz w:val="21"/>
              </w:rPr>
            </w:pPr>
          </w:p>
          <w:p w14:paraId="0FF1DB44">
            <w:pPr>
              <w:spacing w:line="269" w:lineRule="auto"/>
              <w:rPr>
                <w:rFonts w:ascii="Arial"/>
                <w:sz w:val="21"/>
              </w:rPr>
            </w:pPr>
          </w:p>
          <w:p w14:paraId="5EF9C67C">
            <w:pPr>
              <w:spacing w:line="269" w:lineRule="auto"/>
              <w:rPr>
                <w:rFonts w:ascii="Arial"/>
                <w:sz w:val="21"/>
              </w:rPr>
            </w:pPr>
          </w:p>
          <w:p w14:paraId="4DFA5F17">
            <w:pPr>
              <w:spacing w:line="270" w:lineRule="auto"/>
              <w:rPr>
                <w:rFonts w:ascii="Arial"/>
                <w:sz w:val="21"/>
              </w:rPr>
            </w:pPr>
          </w:p>
          <w:p w14:paraId="5CAB5DCF">
            <w:pPr>
              <w:spacing w:line="270" w:lineRule="auto"/>
              <w:rPr>
                <w:rFonts w:ascii="Arial"/>
                <w:sz w:val="21"/>
              </w:rPr>
            </w:pPr>
          </w:p>
          <w:p w14:paraId="4CA8B479">
            <w:pPr>
              <w:spacing w:line="270" w:lineRule="auto"/>
              <w:rPr>
                <w:rFonts w:ascii="Arial"/>
                <w:sz w:val="21"/>
              </w:rPr>
            </w:pPr>
          </w:p>
          <w:p w14:paraId="2AD92081">
            <w:pPr>
              <w:spacing w:line="270" w:lineRule="auto"/>
              <w:rPr>
                <w:rFonts w:ascii="Arial"/>
                <w:sz w:val="21"/>
              </w:rPr>
            </w:pPr>
          </w:p>
          <w:p w14:paraId="1DB338B6">
            <w:pPr>
              <w:jc w:val="center"/>
              <w:rPr>
                <w:b/>
                <w:bCs/>
              </w:rPr>
            </w:pPr>
          </w:p>
          <w:p w14:paraId="180B954C">
            <w:pPr>
              <w:jc w:val="center"/>
              <w:rPr>
                <w:b/>
                <w:bCs/>
              </w:rPr>
            </w:pPr>
            <w:r>
              <w:rPr>
                <w:b/>
                <w:bCs/>
              </w:rPr>
              <w:t>年</w:t>
            </w:r>
          </w:p>
          <w:p w14:paraId="13354969">
            <w:pPr>
              <w:jc w:val="center"/>
              <w:rPr>
                <w:b/>
                <w:bCs/>
              </w:rPr>
            </w:pPr>
            <w:r>
              <w:rPr>
                <w:b/>
                <w:bCs/>
              </w:rPr>
              <w:t>度</w:t>
            </w:r>
          </w:p>
          <w:p w14:paraId="223A652C">
            <w:pPr>
              <w:jc w:val="center"/>
              <w:rPr>
                <w:b/>
                <w:bCs/>
              </w:rPr>
            </w:pPr>
            <w:r>
              <w:rPr>
                <w:b/>
                <w:bCs/>
              </w:rPr>
              <w:t>绩</w:t>
            </w:r>
          </w:p>
          <w:p w14:paraId="10797AB0">
            <w:pPr>
              <w:jc w:val="center"/>
              <w:rPr>
                <w:b/>
                <w:bCs/>
              </w:rPr>
            </w:pPr>
            <w:r>
              <w:rPr>
                <w:b/>
                <w:bCs/>
              </w:rPr>
              <w:t>效</w:t>
            </w:r>
          </w:p>
          <w:p w14:paraId="11B51264">
            <w:pPr>
              <w:jc w:val="center"/>
              <w:rPr>
                <w:b/>
                <w:bCs/>
              </w:rPr>
            </w:pPr>
            <w:r>
              <w:rPr>
                <w:b/>
                <w:bCs/>
              </w:rPr>
              <w:t>目</w:t>
            </w:r>
          </w:p>
          <w:p w14:paraId="156F67C6">
            <w:pPr>
              <w:jc w:val="center"/>
              <w:rPr>
                <w:b/>
                <w:bCs/>
              </w:rPr>
            </w:pPr>
            <w:r>
              <w:rPr>
                <w:b/>
                <w:bCs/>
              </w:rPr>
              <w:t>标</w:t>
            </w:r>
          </w:p>
          <w:p w14:paraId="5FEE2808">
            <w:pPr>
              <w:jc w:val="center"/>
              <w:rPr>
                <w:b/>
                <w:bCs/>
              </w:rPr>
            </w:pPr>
            <w:r>
              <w:rPr>
                <w:b/>
                <w:bCs/>
              </w:rPr>
              <w:t>1</w:t>
            </w:r>
          </w:p>
          <w:p w14:paraId="2B90CCC7">
            <w:pPr>
              <w:jc w:val="center"/>
              <w:rPr>
                <w:rFonts w:ascii="宋体" w:hAnsi="宋体" w:eastAsia="宋体" w:cs="宋体"/>
                <w:sz w:val="22"/>
                <w:szCs w:val="22"/>
              </w:rPr>
            </w:pPr>
            <w:r>
              <w:rPr>
                <w:b/>
                <w:bCs/>
              </w:rPr>
              <w:t>(XX分 )</w:t>
            </w:r>
          </w:p>
        </w:tc>
        <w:tc>
          <w:tcPr>
            <w:tcW w:w="689" w:type="dxa"/>
            <w:noWrap w:val="0"/>
            <w:vAlign w:val="top"/>
          </w:tcPr>
          <w:p w14:paraId="1AA298A9">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213" w:type="dxa"/>
            <w:gridSpan w:val="2"/>
            <w:noWrap w:val="0"/>
            <w:vAlign w:val="top"/>
          </w:tcPr>
          <w:p w14:paraId="7614FB75">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553" w:type="dxa"/>
            <w:gridSpan w:val="3"/>
            <w:noWrap w:val="0"/>
            <w:vAlign w:val="top"/>
          </w:tcPr>
          <w:p w14:paraId="3A25057E">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4E58663">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66DDADE7">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7172340">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31D561E4">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DD899A9">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281DF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1AA8167C">
            <w:pPr>
              <w:rPr>
                <w:rFonts w:ascii="Arial"/>
                <w:sz w:val="21"/>
              </w:rPr>
            </w:pPr>
          </w:p>
        </w:tc>
        <w:tc>
          <w:tcPr>
            <w:tcW w:w="689" w:type="dxa"/>
            <w:vMerge w:val="restart"/>
            <w:tcBorders>
              <w:bottom w:val="nil"/>
            </w:tcBorders>
            <w:noWrap w:val="0"/>
            <w:vAlign w:val="top"/>
          </w:tcPr>
          <w:p w14:paraId="13EA2C13">
            <w:pPr>
              <w:rPr>
                <w:b/>
                <w:bCs/>
              </w:rPr>
            </w:pPr>
          </w:p>
          <w:p w14:paraId="718B401E">
            <w:pPr>
              <w:rPr>
                <w:b/>
                <w:bCs/>
              </w:rPr>
            </w:pPr>
          </w:p>
          <w:p w14:paraId="1ECA07DC">
            <w:pPr>
              <w:rPr>
                <w:b/>
                <w:bCs/>
              </w:rPr>
            </w:pPr>
          </w:p>
          <w:p w14:paraId="5182020B">
            <w:pPr>
              <w:jc w:val="center"/>
              <w:rPr>
                <w:b/>
                <w:bCs/>
              </w:rPr>
            </w:pPr>
            <w:r>
              <w:rPr>
                <w:b/>
                <w:bCs/>
              </w:rPr>
              <w:t>产出</w:t>
            </w:r>
          </w:p>
          <w:p w14:paraId="516FE648">
            <w:pPr>
              <w:jc w:val="center"/>
              <w:rPr>
                <w:rFonts w:hint="eastAsia" w:eastAsia="宋体"/>
                <w:b/>
                <w:bCs/>
                <w:lang w:val="en-US" w:eastAsia="zh-CN"/>
              </w:rPr>
            </w:pPr>
            <w:r>
              <w:rPr>
                <w:rFonts w:hint="eastAsia"/>
                <w:b/>
                <w:bCs/>
                <w:lang w:val="en-US" w:eastAsia="zh-CN"/>
              </w:rPr>
              <w:t>指标</w:t>
            </w:r>
          </w:p>
        </w:tc>
        <w:tc>
          <w:tcPr>
            <w:tcW w:w="1213" w:type="dxa"/>
            <w:gridSpan w:val="2"/>
            <w:noWrap w:val="0"/>
            <w:vAlign w:val="top"/>
          </w:tcPr>
          <w:p w14:paraId="3DD9922A">
            <w:pPr>
              <w:rPr>
                <w:rFonts w:hint="default"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6CE12521">
            <w:pPr>
              <w:rPr>
                <w:rFonts w:hint="eastAsia" w:ascii="Arial" w:eastAsia="宋体"/>
                <w:kern w:val="2"/>
                <w:sz w:val="21"/>
                <w:lang w:val="en-US" w:eastAsia="zh-CN" w:bidi="ar-SA"/>
              </w:rPr>
            </w:pPr>
            <w:r>
              <w:rPr>
                <w:rFonts w:hint="eastAsia" w:ascii="Arial"/>
                <w:sz w:val="21"/>
                <w:lang w:val="en-US" w:eastAsia="zh-CN"/>
              </w:rPr>
              <w:t>事业编公开招聘面试</w:t>
            </w:r>
          </w:p>
        </w:tc>
        <w:tc>
          <w:tcPr>
            <w:tcW w:w="1458" w:type="dxa"/>
            <w:noWrap w:val="0"/>
            <w:vAlign w:val="top"/>
          </w:tcPr>
          <w:p w14:paraId="58E1E7D4">
            <w:pPr>
              <w:rPr>
                <w:rFonts w:hint="default" w:ascii="Arial" w:eastAsia="宋体"/>
                <w:sz w:val="21"/>
                <w:lang w:val="en-US" w:eastAsia="zh-CN"/>
              </w:rPr>
            </w:pPr>
            <w:r>
              <w:rPr>
                <w:rFonts w:hint="eastAsia" w:ascii="Arial" w:eastAsia="宋体"/>
                <w:sz w:val="21"/>
                <w:lang w:val="en-US" w:eastAsia="zh-CN"/>
              </w:rPr>
              <w:t>40</w:t>
            </w:r>
          </w:p>
        </w:tc>
        <w:tc>
          <w:tcPr>
            <w:tcW w:w="1318" w:type="dxa"/>
            <w:gridSpan w:val="2"/>
            <w:noWrap w:val="0"/>
            <w:vAlign w:val="top"/>
          </w:tcPr>
          <w:p w14:paraId="59FA67E7">
            <w:pPr>
              <w:rPr>
                <w:rFonts w:hint="default" w:ascii="Arial" w:eastAsia="宋体"/>
                <w:sz w:val="21"/>
                <w:lang w:val="en-US" w:eastAsia="zh-CN"/>
              </w:rPr>
            </w:pPr>
            <w:r>
              <w:rPr>
                <w:rFonts w:hint="eastAsia" w:ascii="Arial" w:eastAsia="宋体"/>
                <w:sz w:val="21"/>
                <w:lang w:val="en-US" w:eastAsia="zh-CN"/>
              </w:rPr>
              <w:t>40</w:t>
            </w:r>
          </w:p>
        </w:tc>
        <w:tc>
          <w:tcPr>
            <w:tcW w:w="884" w:type="dxa"/>
            <w:noWrap w:val="0"/>
            <w:vAlign w:val="top"/>
          </w:tcPr>
          <w:p w14:paraId="57DA7C33">
            <w:pPr>
              <w:rPr>
                <w:rFonts w:hint="default" w:ascii="Arial" w:eastAsia="宋体"/>
                <w:sz w:val="21"/>
                <w:lang w:val="en-US" w:eastAsia="zh-CN"/>
              </w:rPr>
            </w:pPr>
            <w:r>
              <w:rPr>
                <w:rFonts w:hint="eastAsia" w:ascii="Arial"/>
                <w:sz w:val="21"/>
                <w:lang w:val="en-US" w:eastAsia="zh-CN"/>
              </w:rPr>
              <w:t>10</w:t>
            </w:r>
          </w:p>
        </w:tc>
      </w:tr>
      <w:tr w14:paraId="384CE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18FAD63">
            <w:pPr>
              <w:rPr>
                <w:rFonts w:ascii="Arial"/>
                <w:sz w:val="21"/>
              </w:rPr>
            </w:pPr>
          </w:p>
        </w:tc>
        <w:tc>
          <w:tcPr>
            <w:tcW w:w="689" w:type="dxa"/>
            <w:vMerge w:val="continue"/>
            <w:tcBorders>
              <w:top w:val="nil"/>
              <w:bottom w:val="nil"/>
            </w:tcBorders>
            <w:noWrap w:val="0"/>
            <w:vAlign w:val="top"/>
          </w:tcPr>
          <w:p w14:paraId="5794763D">
            <w:pPr>
              <w:rPr>
                <w:b/>
                <w:bCs/>
              </w:rPr>
            </w:pPr>
          </w:p>
        </w:tc>
        <w:tc>
          <w:tcPr>
            <w:tcW w:w="1213" w:type="dxa"/>
            <w:gridSpan w:val="2"/>
            <w:noWrap w:val="0"/>
            <w:vAlign w:val="top"/>
          </w:tcPr>
          <w:p w14:paraId="73CC7591">
            <w:pPr>
              <w:rPr>
                <w:rFonts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4FFAADFA">
            <w:pPr>
              <w:rPr>
                <w:rFonts w:hint="eastAsia" w:ascii="Arial" w:eastAsia="宋体"/>
                <w:kern w:val="2"/>
                <w:sz w:val="21"/>
                <w:lang w:val="en-US" w:eastAsia="zh-CN" w:bidi="ar-SA"/>
              </w:rPr>
            </w:pPr>
            <w:r>
              <w:rPr>
                <w:rFonts w:hint="eastAsia" w:ascii="Arial"/>
                <w:sz w:val="21"/>
                <w:lang w:val="en-US" w:eastAsia="zh-CN"/>
              </w:rPr>
              <w:t>三支一扶</w:t>
            </w:r>
          </w:p>
        </w:tc>
        <w:tc>
          <w:tcPr>
            <w:tcW w:w="1458" w:type="dxa"/>
            <w:noWrap w:val="0"/>
            <w:vAlign w:val="top"/>
          </w:tcPr>
          <w:p w14:paraId="01050B83">
            <w:pPr>
              <w:rPr>
                <w:rFonts w:hint="default" w:ascii="Arial" w:eastAsia="宋体"/>
                <w:sz w:val="21"/>
                <w:lang w:val="en-US" w:eastAsia="zh-CN"/>
              </w:rPr>
            </w:pPr>
            <w:r>
              <w:rPr>
                <w:rFonts w:hint="eastAsia" w:ascii="Arial" w:eastAsia="宋体"/>
                <w:sz w:val="21"/>
                <w:lang w:val="en-US" w:eastAsia="zh-CN"/>
              </w:rPr>
              <w:t>8</w:t>
            </w:r>
          </w:p>
        </w:tc>
        <w:tc>
          <w:tcPr>
            <w:tcW w:w="1318" w:type="dxa"/>
            <w:gridSpan w:val="2"/>
            <w:noWrap w:val="0"/>
            <w:vAlign w:val="top"/>
          </w:tcPr>
          <w:p w14:paraId="65080B13">
            <w:pPr>
              <w:rPr>
                <w:rFonts w:hint="default" w:ascii="Arial" w:eastAsia="宋体"/>
                <w:sz w:val="21"/>
                <w:lang w:val="en-US" w:eastAsia="zh-CN"/>
              </w:rPr>
            </w:pPr>
            <w:r>
              <w:rPr>
                <w:rFonts w:hint="eastAsia" w:ascii="Arial" w:eastAsia="宋体"/>
                <w:sz w:val="21"/>
                <w:lang w:val="en-US" w:eastAsia="zh-CN"/>
              </w:rPr>
              <w:t>8</w:t>
            </w:r>
          </w:p>
        </w:tc>
        <w:tc>
          <w:tcPr>
            <w:tcW w:w="884" w:type="dxa"/>
            <w:noWrap w:val="0"/>
            <w:vAlign w:val="top"/>
          </w:tcPr>
          <w:p w14:paraId="41BE1B03">
            <w:pPr>
              <w:rPr>
                <w:rFonts w:hint="default" w:ascii="Arial" w:eastAsia="宋体"/>
                <w:sz w:val="21"/>
                <w:lang w:val="en-US" w:eastAsia="zh-CN"/>
              </w:rPr>
            </w:pPr>
            <w:r>
              <w:rPr>
                <w:rFonts w:hint="eastAsia" w:ascii="Arial"/>
                <w:sz w:val="21"/>
                <w:lang w:val="en-US" w:eastAsia="zh-CN"/>
              </w:rPr>
              <w:t>10</w:t>
            </w:r>
          </w:p>
        </w:tc>
      </w:tr>
      <w:tr w14:paraId="54A6A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A134763">
            <w:pPr>
              <w:rPr>
                <w:rFonts w:ascii="Arial"/>
                <w:sz w:val="21"/>
              </w:rPr>
            </w:pPr>
          </w:p>
        </w:tc>
        <w:tc>
          <w:tcPr>
            <w:tcW w:w="689" w:type="dxa"/>
            <w:vMerge w:val="continue"/>
            <w:tcBorders>
              <w:top w:val="nil"/>
              <w:bottom w:val="nil"/>
            </w:tcBorders>
            <w:noWrap w:val="0"/>
            <w:vAlign w:val="top"/>
          </w:tcPr>
          <w:p w14:paraId="6B2803B6">
            <w:pPr>
              <w:rPr>
                <w:b/>
                <w:bCs/>
              </w:rPr>
            </w:pPr>
          </w:p>
        </w:tc>
        <w:tc>
          <w:tcPr>
            <w:tcW w:w="1213" w:type="dxa"/>
            <w:gridSpan w:val="2"/>
            <w:noWrap w:val="0"/>
            <w:vAlign w:val="top"/>
          </w:tcPr>
          <w:p w14:paraId="0C345AF6">
            <w:pPr>
              <w:spacing w:before="220" w:line="173" w:lineRule="exact"/>
              <w:rPr>
                <w:rFonts w:ascii="宋体" w:hAnsi="宋体" w:eastAsia="宋体" w:cs="宋体"/>
                <w:kern w:val="2"/>
                <w:sz w:val="11"/>
                <w:szCs w:val="1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5452D9FD">
            <w:pPr>
              <w:rPr>
                <w:rFonts w:hint="default" w:ascii="Arial"/>
                <w:kern w:val="2"/>
                <w:sz w:val="21"/>
                <w:lang w:val="en-US" w:eastAsia="zh-CN" w:bidi="ar-SA"/>
              </w:rPr>
            </w:pPr>
            <w:r>
              <w:rPr>
                <w:rFonts w:hint="eastAsia" w:ascii="Arial"/>
                <w:sz w:val="21"/>
                <w:lang w:val="en-US" w:eastAsia="zh-CN"/>
              </w:rPr>
              <w:t>教育面试</w:t>
            </w:r>
          </w:p>
        </w:tc>
        <w:tc>
          <w:tcPr>
            <w:tcW w:w="1458" w:type="dxa"/>
            <w:noWrap w:val="0"/>
            <w:vAlign w:val="top"/>
          </w:tcPr>
          <w:p w14:paraId="337CCFEA">
            <w:pPr>
              <w:rPr>
                <w:rFonts w:hint="default" w:ascii="Arial" w:eastAsia="宋体"/>
                <w:sz w:val="21"/>
                <w:lang w:val="en-US" w:eastAsia="zh-CN"/>
              </w:rPr>
            </w:pPr>
            <w:r>
              <w:rPr>
                <w:rFonts w:hint="eastAsia" w:ascii="Arial" w:eastAsia="宋体"/>
                <w:sz w:val="21"/>
                <w:lang w:val="en-US" w:eastAsia="zh-CN"/>
              </w:rPr>
              <w:t>50</w:t>
            </w:r>
          </w:p>
        </w:tc>
        <w:tc>
          <w:tcPr>
            <w:tcW w:w="1318" w:type="dxa"/>
            <w:gridSpan w:val="2"/>
            <w:noWrap w:val="0"/>
            <w:vAlign w:val="top"/>
          </w:tcPr>
          <w:p w14:paraId="49F599BD">
            <w:pPr>
              <w:rPr>
                <w:rFonts w:hint="default" w:ascii="Arial" w:eastAsia="宋体"/>
                <w:sz w:val="21"/>
                <w:lang w:val="en-US" w:eastAsia="zh-CN"/>
              </w:rPr>
            </w:pPr>
            <w:r>
              <w:rPr>
                <w:rFonts w:hint="eastAsia" w:ascii="Arial" w:eastAsia="宋体"/>
                <w:sz w:val="21"/>
                <w:lang w:val="en-US" w:eastAsia="zh-CN"/>
              </w:rPr>
              <w:t>50</w:t>
            </w:r>
          </w:p>
        </w:tc>
        <w:tc>
          <w:tcPr>
            <w:tcW w:w="884" w:type="dxa"/>
            <w:noWrap w:val="0"/>
            <w:vAlign w:val="top"/>
          </w:tcPr>
          <w:p w14:paraId="3993B13A">
            <w:pPr>
              <w:rPr>
                <w:rFonts w:hint="default" w:ascii="Arial" w:eastAsia="宋体"/>
                <w:sz w:val="21"/>
                <w:lang w:val="en-US" w:eastAsia="zh-CN"/>
              </w:rPr>
            </w:pPr>
            <w:r>
              <w:rPr>
                <w:rFonts w:hint="eastAsia" w:ascii="Arial"/>
                <w:sz w:val="21"/>
                <w:lang w:val="en-US" w:eastAsia="zh-CN"/>
              </w:rPr>
              <w:t>10</w:t>
            </w:r>
          </w:p>
        </w:tc>
      </w:tr>
      <w:tr w14:paraId="743EA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2539457">
            <w:pPr>
              <w:rPr>
                <w:rFonts w:ascii="Arial"/>
                <w:sz w:val="21"/>
              </w:rPr>
            </w:pPr>
          </w:p>
        </w:tc>
        <w:tc>
          <w:tcPr>
            <w:tcW w:w="689" w:type="dxa"/>
            <w:vMerge w:val="continue"/>
            <w:tcBorders>
              <w:top w:val="nil"/>
            </w:tcBorders>
            <w:noWrap w:val="0"/>
            <w:vAlign w:val="top"/>
          </w:tcPr>
          <w:p w14:paraId="65F1DB0A">
            <w:pPr>
              <w:rPr>
                <w:b/>
                <w:bCs/>
              </w:rPr>
            </w:pPr>
          </w:p>
        </w:tc>
        <w:tc>
          <w:tcPr>
            <w:tcW w:w="1213" w:type="dxa"/>
            <w:gridSpan w:val="2"/>
            <w:noWrap w:val="0"/>
            <w:vAlign w:val="top"/>
          </w:tcPr>
          <w:p w14:paraId="130C37E5">
            <w:pPr>
              <w:spacing w:before="176" w:line="343" w:lineRule="exact"/>
              <w:rPr>
                <w:rFonts w:ascii="宋体" w:hAnsi="宋体" w:eastAsia="宋体" w:cs="宋体"/>
                <w:kern w:val="2"/>
                <w:sz w:val="22"/>
                <w:szCs w:val="22"/>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2D9B33E8">
            <w:pPr>
              <w:rPr>
                <w:rFonts w:hint="default" w:ascii="Arial" w:eastAsia="宋体"/>
                <w:kern w:val="2"/>
                <w:sz w:val="21"/>
                <w:lang w:val="en-US" w:eastAsia="zh-CN" w:bidi="ar-SA"/>
              </w:rPr>
            </w:pPr>
            <w:r>
              <w:rPr>
                <w:rFonts w:hint="eastAsia" w:ascii="Arial"/>
                <w:sz w:val="21"/>
                <w:lang w:val="en-US" w:eastAsia="zh-CN"/>
              </w:rPr>
              <w:t>医疗卫生</w:t>
            </w:r>
          </w:p>
        </w:tc>
        <w:tc>
          <w:tcPr>
            <w:tcW w:w="1458" w:type="dxa"/>
            <w:noWrap w:val="0"/>
            <w:vAlign w:val="top"/>
          </w:tcPr>
          <w:p w14:paraId="442866FF">
            <w:pPr>
              <w:rPr>
                <w:rFonts w:hint="default" w:ascii="Arial" w:eastAsia="宋体"/>
                <w:sz w:val="21"/>
                <w:lang w:val="en-US" w:eastAsia="zh-CN"/>
              </w:rPr>
            </w:pPr>
            <w:r>
              <w:rPr>
                <w:rFonts w:hint="eastAsia" w:ascii="Arial" w:eastAsia="宋体"/>
                <w:sz w:val="21"/>
                <w:lang w:val="en-US" w:eastAsia="zh-CN"/>
              </w:rPr>
              <w:t>16</w:t>
            </w:r>
          </w:p>
        </w:tc>
        <w:tc>
          <w:tcPr>
            <w:tcW w:w="1318" w:type="dxa"/>
            <w:gridSpan w:val="2"/>
            <w:noWrap w:val="0"/>
            <w:vAlign w:val="top"/>
          </w:tcPr>
          <w:p w14:paraId="585182C3">
            <w:pPr>
              <w:rPr>
                <w:rFonts w:hint="default" w:ascii="Arial" w:eastAsia="宋体"/>
                <w:sz w:val="21"/>
                <w:lang w:val="en-US" w:eastAsia="zh-CN"/>
              </w:rPr>
            </w:pPr>
            <w:r>
              <w:rPr>
                <w:rFonts w:hint="eastAsia" w:ascii="Arial" w:eastAsia="宋体"/>
                <w:sz w:val="21"/>
                <w:lang w:val="en-US" w:eastAsia="zh-CN"/>
              </w:rPr>
              <w:t>16</w:t>
            </w:r>
          </w:p>
        </w:tc>
        <w:tc>
          <w:tcPr>
            <w:tcW w:w="884" w:type="dxa"/>
            <w:noWrap w:val="0"/>
            <w:vAlign w:val="top"/>
          </w:tcPr>
          <w:p w14:paraId="40900A83">
            <w:pPr>
              <w:rPr>
                <w:rFonts w:hint="default" w:ascii="Arial" w:eastAsia="宋体"/>
                <w:sz w:val="21"/>
                <w:lang w:val="en-US" w:eastAsia="zh-CN"/>
              </w:rPr>
            </w:pPr>
            <w:r>
              <w:rPr>
                <w:rFonts w:hint="eastAsia" w:ascii="Arial"/>
                <w:sz w:val="21"/>
                <w:lang w:val="en-US" w:eastAsia="zh-CN"/>
              </w:rPr>
              <w:t>10</w:t>
            </w:r>
          </w:p>
        </w:tc>
      </w:tr>
      <w:tr w14:paraId="71CB9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2CA32D33">
            <w:pPr>
              <w:rPr>
                <w:rFonts w:ascii="Arial"/>
                <w:sz w:val="21"/>
              </w:rPr>
            </w:pPr>
          </w:p>
        </w:tc>
        <w:tc>
          <w:tcPr>
            <w:tcW w:w="689" w:type="dxa"/>
            <w:vMerge w:val="restart"/>
            <w:tcBorders>
              <w:bottom w:val="nil"/>
            </w:tcBorders>
            <w:noWrap w:val="0"/>
            <w:vAlign w:val="top"/>
          </w:tcPr>
          <w:p w14:paraId="2DF27F0D">
            <w:pPr>
              <w:jc w:val="center"/>
              <w:rPr>
                <w:rFonts w:ascii="Calibri" w:hAnsi="Calibri" w:eastAsia="宋体" w:cs="Times New Roman"/>
                <w:b/>
                <w:bCs/>
              </w:rPr>
            </w:pPr>
          </w:p>
          <w:p w14:paraId="4C1267E4">
            <w:pPr>
              <w:jc w:val="center"/>
              <w:rPr>
                <w:rFonts w:ascii="Calibri" w:hAnsi="Calibri" w:eastAsia="宋体" w:cs="Times New Roman"/>
                <w:b/>
                <w:bCs/>
              </w:rPr>
            </w:pPr>
          </w:p>
          <w:p w14:paraId="43895684">
            <w:pPr>
              <w:jc w:val="center"/>
              <w:rPr>
                <w:rFonts w:ascii="Calibri" w:hAnsi="Calibri" w:eastAsia="宋体" w:cs="Times New Roman"/>
                <w:b/>
                <w:bCs/>
              </w:rPr>
            </w:pPr>
          </w:p>
          <w:p w14:paraId="65C1B4C7">
            <w:pPr>
              <w:jc w:val="center"/>
              <w:rPr>
                <w:rFonts w:ascii="Calibri" w:hAnsi="Calibri" w:eastAsia="宋体" w:cs="Times New Roman"/>
                <w:b/>
                <w:bCs/>
              </w:rPr>
            </w:pPr>
            <w:r>
              <w:rPr>
                <w:rFonts w:ascii="Calibri" w:hAnsi="Calibri" w:eastAsia="宋体" w:cs="Times New Roman"/>
                <w:b/>
                <w:bCs/>
              </w:rPr>
              <w:t>效益 指标</w:t>
            </w:r>
          </w:p>
        </w:tc>
        <w:tc>
          <w:tcPr>
            <w:tcW w:w="1213" w:type="dxa"/>
            <w:gridSpan w:val="2"/>
            <w:noWrap w:val="0"/>
            <w:vAlign w:val="top"/>
          </w:tcPr>
          <w:p w14:paraId="16B14F4D">
            <w:pPr>
              <w:spacing w:before="211" w:line="169" w:lineRule="exact"/>
              <w:rPr>
                <w:rFonts w:ascii="宋体" w:hAnsi="宋体" w:eastAsia="宋体" w:cs="宋体"/>
                <w:sz w:val="11"/>
                <w:szCs w:val="11"/>
              </w:rPr>
            </w:pPr>
            <w:r>
              <w:rPr>
                <w:rFonts w:hint="eastAsia" w:ascii="宋体" w:hAnsi="宋体" w:eastAsia="宋体" w:cs="宋体"/>
                <w:spacing w:val="-2"/>
                <w:sz w:val="21"/>
                <w:szCs w:val="21"/>
                <w:lang w:val="en-US" w:eastAsia="zh-CN"/>
              </w:rPr>
              <w:t>社会效益</w:t>
            </w:r>
            <w:r>
              <w:rPr>
                <w:rFonts w:ascii="宋体" w:hAnsi="宋体" w:eastAsia="宋体" w:cs="宋体"/>
                <w:spacing w:val="-2"/>
                <w:sz w:val="21"/>
                <w:szCs w:val="21"/>
              </w:rPr>
              <w:t>指标</w:t>
            </w:r>
          </w:p>
        </w:tc>
        <w:tc>
          <w:tcPr>
            <w:tcW w:w="2553" w:type="dxa"/>
            <w:gridSpan w:val="3"/>
            <w:noWrap w:val="0"/>
            <w:vAlign w:val="top"/>
          </w:tcPr>
          <w:p w14:paraId="362B948C">
            <w:pPr>
              <w:rPr>
                <w:rFonts w:hint="default" w:ascii="Arial" w:eastAsia="宋体"/>
                <w:kern w:val="2"/>
                <w:sz w:val="21"/>
                <w:lang w:val="en-US" w:eastAsia="zh-CN" w:bidi="ar-SA"/>
              </w:rPr>
            </w:pPr>
            <w:r>
              <w:rPr>
                <w:rFonts w:hint="eastAsia" w:ascii="Arial" w:eastAsia="宋体"/>
                <w:kern w:val="2"/>
                <w:sz w:val="21"/>
                <w:lang w:val="en-US" w:eastAsia="zh-CN" w:bidi="ar-SA"/>
              </w:rPr>
              <w:t>提高就业率</w:t>
            </w:r>
          </w:p>
        </w:tc>
        <w:tc>
          <w:tcPr>
            <w:tcW w:w="1458" w:type="dxa"/>
            <w:noWrap w:val="0"/>
            <w:vAlign w:val="top"/>
          </w:tcPr>
          <w:p w14:paraId="6ED6E5F7">
            <w:pPr>
              <w:rPr>
                <w:rFonts w:hint="default" w:ascii="Arial" w:eastAsia="宋体"/>
                <w:sz w:val="21"/>
                <w:lang w:val="en-US" w:eastAsia="zh-CN"/>
              </w:rPr>
            </w:pPr>
            <w:r>
              <w:rPr>
                <w:rFonts w:hint="eastAsia" w:ascii="Arial" w:eastAsia="宋体"/>
                <w:sz w:val="21"/>
                <w:lang w:val="en-US" w:eastAsia="zh-CN"/>
              </w:rPr>
              <w:t>100%</w:t>
            </w:r>
          </w:p>
        </w:tc>
        <w:tc>
          <w:tcPr>
            <w:tcW w:w="1318" w:type="dxa"/>
            <w:gridSpan w:val="2"/>
            <w:noWrap w:val="0"/>
            <w:vAlign w:val="top"/>
          </w:tcPr>
          <w:p w14:paraId="202230BC">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2C6758C2">
            <w:pPr>
              <w:rPr>
                <w:rFonts w:hint="eastAsia" w:ascii="Arial" w:eastAsia="宋体"/>
                <w:sz w:val="21"/>
                <w:lang w:val="en-US" w:eastAsia="zh-CN"/>
              </w:rPr>
            </w:pPr>
            <w:r>
              <w:rPr>
                <w:rFonts w:hint="eastAsia" w:ascii="Arial"/>
                <w:sz w:val="21"/>
                <w:lang w:val="en-US" w:eastAsia="zh-CN"/>
              </w:rPr>
              <w:t>8</w:t>
            </w:r>
          </w:p>
        </w:tc>
      </w:tr>
      <w:tr w14:paraId="3515F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288D44F">
            <w:pPr>
              <w:rPr>
                <w:rFonts w:ascii="Arial"/>
                <w:sz w:val="21"/>
              </w:rPr>
            </w:pPr>
          </w:p>
        </w:tc>
        <w:tc>
          <w:tcPr>
            <w:tcW w:w="689" w:type="dxa"/>
            <w:vMerge w:val="continue"/>
            <w:tcBorders>
              <w:top w:val="nil"/>
              <w:bottom w:val="nil"/>
            </w:tcBorders>
            <w:noWrap w:val="0"/>
            <w:vAlign w:val="top"/>
          </w:tcPr>
          <w:p w14:paraId="70F05FD1">
            <w:pPr>
              <w:jc w:val="center"/>
              <w:rPr>
                <w:rFonts w:ascii="Calibri" w:hAnsi="Calibri" w:eastAsia="宋体" w:cs="Times New Roman"/>
                <w:b/>
                <w:bCs/>
              </w:rPr>
            </w:pPr>
          </w:p>
        </w:tc>
        <w:tc>
          <w:tcPr>
            <w:tcW w:w="1213" w:type="dxa"/>
            <w:gridSpan w:val="2"/>
            <w:noWrap w:val="0"/>
            <w:vAlign w:val="top"/>
          </w:tcPr>
          <w:p w14:paraId="05116A94">
            <w:pPr>
              <w:spacing w:before="177" w:line="342" w:lineRule="exact"/>
              <w:rPr>
                <w:rFonts w:ascii="宋体" w:hAnsi="宋体" w:eastAsia="宋体" w:cs="宋体"/>
                <w:sz w:val="22"/>
                <w:szCs w:val="22"/>
              </w:rPr>
            </w:pPr>
            <w:r>
              <w:rPr>
                <w:rFonts w:hint="eastAsia" w:ascii="宋体" w:hAnsi="宋体" w:eastAsia="宋体" w:cs="宋体"/>
                <w:spacing w:val="-2"/>
                <w:sz w:val="21"/>
                <w:szCs w:val="21"/>
                <w:lang w:val="en-US" w:eastAsia="zh-CN"/>
              </w:rPr>
              <w:t>可持续</w:t>
            </w:r>
            <w:r>
              <w:rPr>
                <w:rFonts w:ascii="宋体" w:hAnsi="宋体" w:eastAsia="宋体" w:cs="宋体"/>
                <w:spacing w:val="-2"/>
                <w:sz w:val="21"/>
                <w:szCs w:val="21"/>
              </w:rPr>
              <w:t>指标</w:t>
            </w:r>
          </w:p>
        </w:tc>
        <w:tc>
          <w:tcPr>
            <w:tcW w:w="2553" w:type="dxa"/>
            <w:gridSpan w:val="3"/>
            <w:noWrap w:val="0"/>
            <w:vAlign w:val="top"/>
          </w:tcPr>
          <w:p w14:paraId="5BF08CC3">
            <w:pPr>
              <w:rPr>
                <w:rFonts w:hint="default" w:ascii="Arial" w:eastAsia="宋体"/>
                <w:kern w:val="2"/>
                <w:sz w:val="21"/>
                <w:lang w:val="en-US" w:eastAsia="zh-CN" w:bidi="ar-SA"/>
              </w:rPr>
            </w:pPr>
            <w:r>
              <w:rPr>
                <w:rFonts w:hint="eastAsia" w:ascii="Arial" w:eastAsia="宋体"/>
                <w:kern w:val="2"/>
                <w:sz w:val="21"/>
                <w:lang w:val="en-US" w:eastAsia="zh-CN" w:bidi="ar-SA"/>
              </w:rPr>
              <w:t>档案管理</w:t>
            </w:r>
          </w:p>
        </w:tc>
        <w:tc>
          <w:tcPr>
            <w:tcW w:w="1458" w:type="dxa"/>
            <w:noWrap w:val="0"/>
            <w:vAlign w:val="top"/>
          </w:tcPr>
          <w:p w14:paraId="16EF7AD5">
            <w:pPr>
              <w:rPr>
                <w:rFonts w:hint="default" w:ascii="Arial" w:eastAsia="宋体"/>
                <w:sz w:val="21"/>
                <w:lang w:val="en-US" w:eastAsia="zh-CN"/>
              </w:rPr>
            </w:pPr>
            <w:r>
              <w:rPr>
                <w:rFonts w:hint="eastAsia" w:ascii="Arial" w:eastAsia="宋体"/>
                <w:sz w:val="21"/>
                <w:lang w:val="en-US" w:eastAsia="zh-CN"/>
              </w:rPr>
              <w:t>100%</w:t>
            </w:r>
          </w:p>
        </w:tc>
        <w:tc>
          <w:tcPr>
            <w:tcW w:w="1318" w:type="dxa"/>
            <w:gridSpan w:val="2"/>
            <w:noWrap w:val="0"/>
            <w:vAlign w:val="top"/>
          </w:tcPr>
          <w:p w14:paraId="68864AF5">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2C56E1FD">
            <w:pPr>
              <w:rPr>
                <w:rFonts w:hint="eastAsia" w:ascii="Arial" w:eastAsia="宋体"/>
                <w:sz w:val="21"/>
                <w:lang w:val="en-US" w:eastAsia="zh-CN"/>
              </w:rPr>
            </w:pPr>
            <w:r>
              <w:rPr>
                <w:rFonts w:hint="eastAsia" w:ascii="Arial"/>
                <w:sz w:val="21"/>
                <w:lang w:val="en-US" w:eastAsia="zh-CN"/>
              </w:rPr>
              <w:t>8</w:t>
            </w:r>
          </w:p>
        </w:tc>
      </w:tr>
      <w:tr w14:paraId="5368B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F7070D4">
            <w:pPr>
              <w:rPr>
                <w:rFonts w:ascii="Arial"/>
                <w:sz w:val="21"/>
              </w:rPr>
            </w:pPr>
          </w:p>
        </w:tc>
        <w:tc>
          <w:tcPr>
            <w:tcW w:w="689" w:type="dxa"/>
            <w:vMerge w:val="continue"/>
            <w:tcBorders>
              <w:top w:val="nil"/>
              <w:bottom w:val="nil"/>
            </w:tcBorders>
            <w:noWrap w:val="0"/>
            <w:vAlign w:val="top"/>
          </w:tcPr>
          <w:p w14:paraId="0FFC2518">
            <w:pPr>
              <w:jc w:val="center"/>
              <w:rPr>
                <w:rFonts w:ascii="Calibri" w:hAnsi="Calibri" w:eastAsia="宋体" w:cs="Times New Roman"/>
                <w:b/>
                <w:bCs/>
              </w:rPr>
            </w:pPr>
          </w:p>
        </w:tc>
        <w:tc>
          <w:tcPr>
            <w:tcW w:w="1213" w:type="dxa"/>
            <w:gridSpan w:val="2"/>
            <w:noWrap w:val="0"/>
            <w:vAlign w:val="top"/>
          </w:tcPr>
          <w:p w14:paraId="53641A97">
            <w:pPr>
              <w:spacing w:before="178" w:line="340" w:lineRule="exact"/>
              <w:rPr>
                <w:rFonts w:ascii="宋体" w:hAnsi="宋体" w:eastAsia="宋体" w:cs="宋体"/>
                <w:sz w:val="22"/>
                <w:szCs w:val="22"/>
              </w:rPr>
            </w:pPr>
            <w:r>
              <w:rPr>
                <w:rFonts w:hint="eastAsia" w:ascii="宋体" w:hAnsi="宋体" w:eastAsia="宋体" w:cs="宋体"/>
                <w:spacing w:val="-2"/>
                <w:sz w:val="21"/>
                <w:szCs w:val="21"/>
                <w:lang w:val="en-US" w:eastAsia="zh-CN"/>
              </w:rPr>
              <w:t>可持续</w:t>
            </w:r>
            <w:r>
              <w:rPr>
                <w:rFonts w:ascii="宋体" w:hAnsi="宋体" w:eastAsia="宋体" w:cs="宋体"/>
                <w:spacing w:val="-2"/>
                <w:sz w:val="21"/>
                <w:szCs w:val="21"/>
              </w:rPr>
              <w:t>指标</w:t>
            </w:r>
          </w:p>
        </w:tc>
        <w:tc>
          <w:tcPr>
            <w:tcW w:w="2553" w:type="dxa"/>
            <w:gridSpan w:val="3"/>
            <w:noWrap w:val="0"/>
            <w:vAlign w:val="top"/>
          </w:tcPr>
          <w:p w14:paraId="6A4A1D6A">
            <w:pPr>
              <w:rPr>
                <w:rFonts w:hint="default" w:ascii="Arial" w:eastAsia="宋体"/>
                <w:sz w:val="21"/>
                <w:lang w:val="en-US" w:eastAsia="zh-CN"/>
              </w:rPr>
            </w:pPr>
            <w:r>
              <w:rPr>
                <w:rFonts w:hint="eastAsia" w:ascii="Arial"/>
                <w:sz w:val="21"/>
                <w:lang w:val="en-US" w:eastAsia="zh-CN"/>
              </w:rPr>
              <w:t>招录人员</w:t>
            </w:r>
          </w:p>
        </w:tc>
        <w:tc>
          <w:tcPr>
            <w:tcW w:w="1458" w:type="dxa"/>
            <w:noWrap w:val="0"/>
            <w:vAlign w:val="top"/>
          </w:tcPr>
          <w:p w14:paraId="20739668">
            <w:pPr>
              <w:rPr>
                <w:rFonts w:hint="default" w:ascii="Arial" w:eastAsia="宋体"/>
                <w:sz w:val="21"/>
                <w:lang w:val="en-US" w:eastAsia="zh-CN"/>
              </w:rPr>
            </w:pPr>
            <w:r>
              <w:rPr>
                <w:rFonts w:hint="eastAsia" w:ascii="Arial" w:eastAsia="宋体"/>
                <w:sz w:val="21"/>
                <w:lang w:val="en-US" w:eastAsia="zh-CN"/>
              </w:rPr>
              <w:t>100%</w:t>
            </w:r>
          </w:p>
        </w:tc>
        <w:tc>
          <w:tcPr>
            <w:tcW w:w="1318" w:type="dxa"/>
            <w:gridSpan w:val="2"/>
            <w:noWrap w:val="0"/>
            <w:vAlign w:val="top"/>
          </w:tcPr>
          <w:p w14:paraId="28F6B859">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02E2C542">
            <w:pPr>
              <w:rPr>
                <w:rFonts w:hint="eastAsia" w:ascii="Arial" w:eastAsia="宋体"/>
                <w:sz w:val="21"/>
                <w:lang w:val="en-US" w:eastAsia="zh-CN"/>
              </w:rPr>
            </w:pPr>
            <w:r>
              <w:rPr>
                <w:rFonts w:hint="eastAsia" w:ascii="Arial"/>
                <w:sz w:val="21"/>
                <w:lang w:val="en-US" w:eastAsia="zh-CN"/>
              </w:rPr>
              <w:t>8</w:t>
            </w:r>
          </w:p>
        </w:tc>
      </w:tr>
      <w:tr w14:paraId="20EE9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654E56E">
            <w:pPr>
              <w:rPr>
                <w:rFonts w:ascii="Arial"/>
                <w:sz w:val="21"/>
              </w:rPr>
            </w:pPr>
          </w:p>
        </w:tc>
        <w:tc>
          <w:tcPr>
            <w:tcW w:w="689" w:type="dxa"/>
            <w:vMerge w:val="continue"/>
            <w:tcBorders>
              <w:top w:val="nil"/>
            </w:tcBorders>
            <w:noWrap w:val="0"/>
            <w:vAlign w:val="top"/>
          </w:tcPr>
          <w:p w14:paraId="3F789055">
            <w:pPr>
              <w:jc w:val="center"/>
              <w:rPr>
                <w:rFonts w:ascii="Calibri" w:hAnsi="Calibri" w:eastAsia="宋体" w:cs="Times New Roman"/>
                <w:b/>
                <w:bCs/>
              </w:rPr>
            </w:pPr>
          </w:p>
        </w:tc>
        <w:tc>
          <w:tcPr>
            <w:tcW w:w="1213" w:type="dxa"/>
            <w:gridSpan w:val="2"/>
            <w:noWrap w:val="0"/>
            <w:vAlign w:val="top"/>
          </w:tcPr>
          <w:p w14:paraId="6B81EE1D">
            <w:pPr>
              <w:rPr>
                <w:rFonts w:ascii="Arial"/>
                <w:sz w:val="21"/>
              </w:rPr>
            </w:pPr>
          </w:p>
        </w:tc>
        <w:tc>
          <w:tcPr>
            <w:tcW w:w="2553" w:type="dxa"/>
            <w:gridSpan w:val="3"/>
            <w:noWrap w:val="0"/>
            <w:vAlign w:val="top"/>
          </w:tcPr>
          <w:p w14:paraId="194B6A32">
            <w:pPr>
              <w:rPr>
                <w:rFonts w:ascii="Arial"/>
                <w:sz w:val="21"/>
              </w:rPr>
            </w:pPr>
          </w:p>
        </w:tc>
        <w:tc>
          <w:tcPr>
            <w:tcW w:w="1458" w:type="dxa"/>
            <w:noWrap w:val="0"/>
            <w:vAlign w:val="top"/>
          </w:tcPr>
          <w:p w14:paraId="52F82001">
            <w:pPr>
              <w:rPr>
                <w:rFonts w:ascii="Arial"/>
                <w:sz w:val="21"/>
              </w:rPr>
            </w:pPr>
          </w:p>
        </w:tc>
        <w:tc>
          <w:tcPr>
            <w:tcW w:w="1318" w:type="dxa"/>
            <w:gridSpan w:val="2"/>
            <w:noWrap w:val="0"/>
            <w:vAlign w:val="top"/>
          </w:tcPr>
          <w:p w14:paraId="76A3FD4C">
            <w:pPr>
              <w:rPr>
                <w:rFonts w:ascii="Arial"/>
                <w:sz w:val="21"/>
              </w:rPr>
            </w:pPr>
          </w:p>
        </w:tc>
        <w:tc>
          <w:tcPr>
            <w:tcW w:w="884" w:type="dxa"/>
            <w:noWrap w:val="0"/>
            <w:vAlign w:val="top"/>
          </w:tcPr>
          <w:p w14:paraId="1D9D1CAF">
            <w:pPr>
              <w:rPr>
                <w:rFonts w:ascii="Arial"/>
                <w:sz w:val="21"/>
              </w:rPr>
            </w:pPr>
          </w:p>
        </w:tc>
      </w:tr>
      <w:tr w14:paraId="3E3BD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1219BBA">
            <w:pPr>
              <w:rPr>
                <w:rFonts w:ascii="Arial"/>
                <w:sz w:val="21"/>
              </w:rPr>
            </w:pPr>
          </w:p>
        </w:tc>
        <w:tc>
          <w:tcPr>
            <w:tcW w:w="689" w:type="dxa"/>
            <w:vMerge w:val="restart"/>
            <w:tcBorders>
              <w:bottom w:val="nil"/>
            </w:tcBorders>
            <w:noWrap w:val="0"/>
            <w:vAlign w:val="top"/>
          </w:tcPr>
          <w:p w14:paraId="1775D3B4">
            <w:pPr>
              <w:jc w:val="center"/>
              <w:rPr>
                <w:rFonts w:ascii="Calibri" w:hAnsi="Calibri" w:eastAsia="宋体" w:cs="Times New Roman"/>
                <w:b/>
                <w:bCs/>
              </w:rPr>
            </w:pPr>
            <w:r>
              <w:rPr>
                <w:rFonts w:ascii="Calibri" w:hAnsi="Calibri" w:eastAsia="宋体" w:cs="Times New Roman"/>
                <w:b/>
                <w:bCs/>
              </w:rPr>
              <w:t>满意</w:t>
            </w:r>
          </w:p>
          <w:p w14:paraId="4CCE22EC">
            <w:pPr>
              <w:jc w:val="center"/>
              <w:rPr>
                <w:rFonts w:ascii="Calibri" w:hAnsi="Calibri" w:eastAsia="宋体" w:cs="Times New Roman"/>
                <w:b/>
                <w:bCs/>
              </w:rPr>
            </w:pPr>
            <w:r>
              <w:rPr>
                <w:rFonts w:ascii="Calibri" w:hAnsi="Calibri" w:eastAsia="宋体" w:cs="Times New Roman"/>
                <w:b/>
                <w:bCs/>
              </w:rPr>
              <w:t>度指</w:t>
            </w:r>
          </w:p>
          <w:p w14:paraId="31AC1DDA">
            <w:pPr>
              <w:jc w:val="center"/>
              <w:rPr>
                <w:rFonts w:ascii="Calibri" w:hAnsi="Calibri" w:eastAsia="宋体" w:cs="Times New Roman"/>
                <w:b/>
                <w:bCs/>
              </w:rPr>
            </w:pPr>
            <w:r>
              <w:rPr>
                <w:rFonts w:ascii="Calibri" w:hAnsi="Calibri" w:eastAsia="宋体" w:cs="Times New Roman"/>
                <w:b/>
                <w:bCs/>
              </w:rPr>
              <w:t>标</w:t>
            </w:r>
          </w:p>
        </w:tc>
        <w:tc>
          <w:tcPr>
            <w:tcW w:w="1213" w:type="dxa"/>
            <w:gridSpan w:val="2"/>
            <w:noWrap w:val="0"/>
            <w:vAlign w:val="top"/>
          </w:tcPr>
          <w:p w14:paraId="2623F480">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553" w:type="dxa"/>
            <w:gridSpan w:val="3"/>
            <w:noWrap w:val="0"/>
            <w:vAlign w:val="top"/>
          </w:tcPr>
          <w:p w14:paraId="18203FF5">
            <w:pPr>
              <w:rPr>
                <w:rFonts w:hint="default" w:ascii="Arial" w:eastAsia="宋体"/>
                <w:sz w:val="21"/>
                <w:lang w:val="en-US" w:eastAsia="zh-CN"/>
              </w:rPr>
            </w:pPr>
            <w:r>
              <w:rPr>
                <w:rFonts w:hint="eastAsia" w:ascii="Arial"/>
                <w:sz w:val="21"/>
                <w:lang w:val="en-US" w:eastAsia="zh-CN"/>
              </w:rPr>
              <w:t>100%</w:t>
            </w:r>
          </w:p>
        </w:tc>
        <w:tc>
          <w:tcPr>
            <w:tcW w:w="1458" w:type="dxa"/>
            <w:noWrap w:val="0"/>
            <w:vAlign w:val="top"/>
          </w:tcPr>
          <w:p w14:paraId="3DDF44A4">
            <w:pPr>
              <w:rPr>
                <w:rFonts w:ascii="Arial"/>
                <w:sz w:val="21"/>
              </w:rPr>
            </w:pPr>
            <w:r>
              <w:rPr>
                <w:rFonts w:hint="eastAsia" w:ascii="Arial"/>
                <w:sz w:val="21"/>
                <w:lang w:val="en-US" w:eastAsia="zh-CN"/>
              </w:rPr>
              <w:t>100%</w:t>
            </w:r>
          </w:p>
        </w:tc>
        <w:tc>
          <w:tcPr>
            <w:tcW w:w="1318" w:type="dxa"/>
            <w:gridSpan w:val="2"/>
            <w:noWrap w:val="0"/>
            <w:vAlign w:val="top"/>
          </w:tcPr>
          <w:p w14:paraId="2E66E06C">
            <w:pPr>
              <w:rPr>
                <w:rFonts w:ascii="Arial"/>
                <w:sz w:val="21"/>
              </w:rPr>
            </w:pPr>
            <w:r>
              <w:rPr>
                <w:rFonts w:hint="eastAsia" w:ascii="Arial" w:eastAsia="宋体"/>
                <w:sz w:val="21"/>
                <w:lang w:val="en-US" w:eastAsia="zh-CN"/>
              </w:rPr>
              <w:t>100%</w:t>
            </w:r>
          </w:p>
        </w:tc>
        <w:tc>
          <w:tcPr>
            <w:tcW w:w="884" w:type="dxa"/>
            <w:noWrap w:val="0"/>
            <w:vAlign w:val="top"/>
          </w:tcPr>
          <w:p w14:paraId="75BBA6C9">
            <w:pPr>
              <w:rPr>
                <w:rFonts w:hint="eastAsia" w:ascii="Arial" w:eastAsia="宋体"/>
                <w:sz w:val="21"/>
                <w:lang w:val="en-US" w:eastAsia="zh-CN"/>
              </w:rPr>
            </w:pPr>
            <w:r>
              <w:rPr>
                <w:rFonts w:hint="eastAsia" w:ascii="Arial"/>
                <w:sz w:val="21"/>
                <w:lang w:val="en-US" w:eastAsia="zh-CN"/>
              </w:rPr>
              <w:t>8</w:t>
            </w:r>
          </w:p>
        </w:tc>
      </w:tr>
      <w:tr w14:paraId="369BC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1DFB7A8A">
            <w:pPr>
              <w:rPr>
                <w:rFonts w:ascii="Arial"/>
                <w:sz w:val="21"/>
              </w:rPr>
            </w:pPr>
          </w:p>
        </w:tc>
        <w:tc>
          <w:tcPr>
            <w:tcW w:w="689" w:type="dxa"/>
            <w:vMerge w:val="continue"/>
            <w:tcBorders>
              <w:top w:val="nil"/>
            </w:tcBorders>
            <w:noWrap w:val="0"/>
            <w:vAlign w:val="top"/>
          </w:tcPr>
          <w:p w14:paraId="0B27E1A2">
            <w:pPr>
              <w:rPr>
                <w:rFonts w:ascii="Arial"/>
                <w:sz w:val="21"/>
              </w:rPr>
            </w:pPr>
          </w:p>
        </w:tc>
        <w:tc>
          <w:tcPr>
            <w:tcW w:w="1213" w:type="dxa"/>
            <w:gridSpan w:val="2"/>
            <w:noWrap w:val="0"/>
            <w:vAlign w:val="top"/>
          </w:tcPr>
          <w:p w14:paraId="257613AB">
            <w:pPr>
              <w:rPr>
                <w:rFonts w:ascii="Arial"/>
                <w:sz w:val="21"/>
              </w:rPr>
            </w:pPr>
          </w:p>
        </w:tc>
        <w:tc>
          <w:tcPr>
            <w:tcW w:w="2553" w:type="dxa"/>
            <w:gridSpan w:val="3"/>
            <w:noWrap w:val="0"/>
            <w:vAlign w:val="top"/>
          </w:tcPr>
          <w:p w14:paraId="5089F80A">
            <w:pPr>
              <w:rPr>
                <w:rFonts w:ascii="Arial"/>
                <w:sz w:val="21"/>
              </w:rPr>
            </w:pPr>
          </w:p>
        </w:tc>
        <w:tc>
          <w:tcPr>
            <w:tcW w:w="1458" w:type="dxa"/>
            <w:noWrap w:val="0"/>
            <w:vAlign w:val="top"/>
          </w:tcPr>
          <w:p w14:paraId="547FC332">
            <w:pPr>
              <w:rPr>
                <w:rFonts w:ascii="Arial"/>
                <w:sz w:val="21"/>
              </w:rPr>
            </w:pPr>
          </w:p>
        </w:tc>
        <w:tc>
          <w:tcPr>
            <w:tcW w:w="1318" w:type="dxa"/>
            <w:gridSpan w:val="2"/>
            <w:noWrap w:val="0"/>
            <w:vAlign w:val="top"/>
          </w:tcPr>
          <w:p w14:paraId="19ACE628">
            <w:pPr>
              <w:rPr>
                <w:rFonts w:ascii="Arial"/>
                <w:sz w:val="21"/>
              </w:rPr>
            </w:pPr>
          </w:p>
        </w:tc>
        <w:tc>
          <w:tcPr>
            <w:tcW w:w="884" w:type="dxa"/>
            <w:noWrap w:val="0"/>
            <w:vAlign w:val="top"/>
          </w:tcPr>
          <w:p w14:paraId="48B65B9C">
            <w:pPr>
              <w:rPr>
                <w:rFonts w:ascii="Arial"/>
                <w:sz w:val="21"/>
              </w:rPr>
            </w:pPr>
          </w:p>
        </w:tc>
      </w:tr>
      <w:tr w14:paraId="49907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564F4980">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230FB3ED">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3662651A">
            <w:pPr>
              <w:rPr>
                <w:rFonts w:ascii="Arial"/>
                <w:sz w:val="21"/>
              </w:rPr>
            </w:pPr>
          </w:p>
        </w:tc>
        <w:tc>
          <w:tcPr>
            <w:tcW w:w="1213" w:type="dxa"/>
            <w:gridSpan w:val="2"/>
            <w:noWrap w:val="0"/>
            <w:vAlign w:val="top"/>
          </w:tcPr>
          <w:p w14:paraId="25A5A379">
            <w:pPr>
              <w:rPr>
                <w:rFonts w:ascii="Arial"/>
                <w:sz w:val="21"/>
              </w:rPr>
            </w:pPr>
          </w:p>
        </w:tc>
        <w:tc>
          <w:tcPr>
            <w:tcW w:w="2553" w:type="dxa"/>
            <w:gridSpan w:val="3"/>
            <w:noWrap w:val="0"/>
            <w:vAlign w:val="top"/>
          </w:tcPr>
          <w:p w14:paraId="634EFABD">
            <w:pPr>
              <w:rPr>
                <w:rFonts w:ascii="Arial"/>
                <w:sz w:val="21"/>
              </w:rPr>
            </w:pPr>
          </w:p>
        </w:tc>
        <w:tc>
          <w:tcPr>
            <w:tcW w:w="1458" w:type="dxa"/>
            <w:noWrap w:val="0"/>
            <w:vAlign w:val="top"/>
          </w:tcPr>
          <w:p w14:paraId="4BD9C155">
            <w:pPr>
              <w:rPr>
                <w:rFonts w:ascii="Arial"/>
                <w:sz w:val="21"/>
              </w:rPr>
            </w:pPr>
          </w:p>
        </w:tc>
        <w:tc>
          <w:tcPr>
            <w:tcW w:w="1318" w:type="dxa"/>
            <w:gridSpan w:val="2"/>
            <w:noWrap w:val="0"/>
            <w:vAlign w:val="top"/>
          </w:tcPr>
          <w:p w14:paraId="70BE6BF7">
            <w:pPr>
              <w:rPr>
                <w:rFonts w:ascii="Arial"/>
                <w:sz w:val="21"/>
              </w:rPr>
            </w:pPr>
          </w:p>
        </w:tc>
        <w:tc>
          <w:tcPr>
            <w:tcW w:w="884" w:type="dxa"/>
            <w:noWrap w:val="0"/>
            <w:vAlign w:val="top"/>
          </w:tcPr>
          <w:p w14:paraId="58DEBC92">
            <w:pPr>
              <w:rPr>
                <w:rFonts w:ascii="Arial"/>
                <w:sz w:val="21"/>
              </w:rPr>
            </w:pPr>
          </w:p>
        </w:tc>
      </w:tr>
      <w:tr w14:paraId="4F4A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32C0178">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73770825">
            <w:pPr>
              <w:rPr>
                <w:rFonts w:ascii="Arial"/>
                <w:sz w:val="21"/>
              </w:rPr>
            </w:pPr>
          </w:p>
        </w:tc>
        <w:tc>
          <w:tcPr>
            <w:tcW w:w="1213" w:type="dxa"/>
            <w:gridSpan w:val="2"/>
            <w:noWrap w:val="0"/>
            <w:vAlign w:val="top"/>
          </w:tcPr>
          <w:p w14:paraId="04DC5BB5">
            <w:pPr>
              <w:rPr>
                <w:rFonts w:ascii="Arial"/>
                <w:sz w:val="21"/>
              </w:rPr>
            </w:pPr>
          </w:p>
        </w:tc>
        <w:tc>
          <w:tcPr>
            <w:tcW w:w="2553" w:type="dxa"/>
            <w:gridSpan w:val="3"/>
            <w:noWrap w:val="0"/>
            <w:vAlign w:val="top"/>
          </w:tcPr>
          <w:p w14:paraId="10E72935">
            <w:pPr>
              <w:rPr>
                <w:rFonts w:ascii="Arial"/>
                <w:sz w:val="21"/>
              </w:rPr>
            </w:pPr>
          </w:p>
        </w:tc>
        <w:tc>
          <w:tcPr>
            <w:tcW w:w="1458" w:type="dxa"/>
            <w:noWrap w:val="0"/>
            <w:vAlign w:val="top"/>
          </w:tcPr>
          <w:p w14:paraId="3D35AF98">
            <w:pPr>
              <w:rPr>
                <w:rFonts w:ascii="Arial"/>
                <w:sz w:val="21"/>
              </w:rPr>
            </w:pPr>
          </w:p>
        </w:tc>
        <w:tc>
          <w:tcPr>
            <w:tcW w:w="1318" w:type="dxa"/>
            <w:gridSpan w:val="2"/>
            <w:noWrap w:val="0"/>
            <w:vAlign w:val="top"/>
          </w:tcPr>
          <w:p w14:paraId="32BD3673">
            <w:pPr>
              <w:rPr>
                <w:rFonts w:ascii="Arial"/>
                <w:sz w:val="21"/>
              </w:rPr>
            </w:pPr>
          </w:p>
        </w:tc>
        <w:tc>
          <w:tcPr>
            <w:tcW w:w="884" w:type="dxa"/>
            <w:noWrap w:val="0"/>
            <w:vAlign w:val="top"/>
          </w:tcPr>
          <w:p w14:paraId="01701073">
            <w:pPr>
              <w:rPr>
                <w:rFonts w:ascii="Arial"/>
                <w:sz w:val="21"/>
              </w:rPr>
            </w:pPr>
          </w:p>
        </w:tc>
      </w:tr>
      <w:tr w14:paraId="340BE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5077738E">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2DF47B2F">
            <w:pPr>
              <w:jc w:val="center"/>
              <w:rPr>
                <w:rFonts w:hint="default" w:ascii="Arial" w:eastAsia="宋体"/>
                <w:sz w:val="21"/>
                <w:lang w:val="en-US" w:eastAsia="zh-CN"/>
              </w:rPr>
            </w:pPr>
            <w:r>
              <w:rPr>
                <w:rFonts w:hint="eastAsia" w:ascii="Arial"/>
                <w:sz w:val="21"/>
                <w:lang w:val="en-US" w:eastAsia="zh-CN"/>
              </w:rPr>
              <w:t>92</w:t>
            </w:r>
          </w:p>
        </w:tc>
      </w:tr>
      <w:tr w14:paraId="09EDE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523" w:type="dxa"/>
            <w:gridSpan w:val="3"/>
            <w:noWrap w:val="0"/>
            <w:vAlign w:val="top"/>
          </w:tcPr>
          <w:p w14:paraId="5B4169C0">
            <w:pPr>
              <w:spacing w:line="242" w:lineRule="auto"/>
              <w:rPr>
                <w:rFonts w:ascii="Arial"/>
                <w:b/>
                <w:bCs/>
                <w:sz w:val="21"/>
              </w:rPr>
            </w:pPr>
          </w:p>
          <w:p w14:paraId="49699799">
            <w:pPr>
              <w:jc w:val="center"/>
              <w:rPr>
                <w:b/>
                <w:bCs/>
              </w:rPr>
            </w:pPr>
            <w:r>
              <w:rPr>
                <w:b/>
                <w:bCs/>
              </w:rPr>
              <w:t>偏差大或</w:t>
            </w:r>
          </w:p>
          <w:p w14:paraId="3B2E1292">
            <w:pPr>
              <w:jc w:val="center"/>
              <w:rPr>
                <w:b/>
                <w:bCs/>
              </w:rPr>
            </w:pPr>
            <w:r>
              <w:rPr>
                <w:b/>
                <w:bCs/>
              </w:rPr>
              <w:t>目标未完成</w:t>
            </w:r>
          </w:p>
          <w:p w14:paraId="5B1525AE">
            <w:pPr>
              <w:jc w:val="center"/>
              <w:rPr>
                <w:rFonts w:ascii="宋体" w:hAnsi="宋体" w:eastAsia="宋体" w:cs="宋体"/>
                <w:sz w:val="20"/>
                <w:szCs w:val="20"/>
              </w:rPr>
            </w:pPr>
            <w:r>
              <w:rPr>
                <w:b/>
                <w:bCs/>
              </w:rPr>
              <w:t>原因分析</w:t>
            </w:r>
          </w:p>
        </w:tc>
        <w:tc>
          <w:tcPr>
            <w:tcW w:w="7406" w:type="dxa"/>
            <w:gridSpan w:val="8"/>
            <w:noWrap w:val="0"/>
            <w:vAlign w:val="top"/>
          </w:tcPr>
          <w:p w14:paraId="4A50BC88">
            <w:pPr>
              <w:jc w:val="center"/>
              <w:rPr>
                <w:rFonts w:hint="default" w:ascii="Arial" w:eastAsia="宋体"/>
                <w:sz w:val="21"/>
                <w:lang w:val="en-US" w:eastAsia="zh-CN"/>
              </w:rPr>
            </w:pPr>
            <w:r>
              <w:rPr>
                <w:rFonts w:hint="eastAsia" w:ascii="Arial" w:eastAsia="宋体"/>
                <w:sz w:val="21"/>
                <w:lang w:val="en-US" w:eastAsia="zh-CN"/>
              </w:rPr>
              <w:t>无</w:t>
            </w:r>
          </w:p>
        </w:tc>
      </w:tr>
      <w:tr w14:paraId="69D5C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14:paraId="5828F43B">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536AF20B">
            <w:pPr>
              <w:jc w:val="center"/>
              <w:rPr>
                <w:rFonts w:hint="eastAsia" w:ascii="Arial" w:eastAsia="宋体"/>
                <w:sz w:val="21"/>
                <w:lang w:eastAsia="zh-CN"/>
              </w:rPr>
            </w:pPr>
            <w:r>
              <w:rPr>
                <w:rFonts w:hint="eastAsia" w:ascii="Arial"/>
                <w:sz w:val="21"/>
                <w:lang w:eastAsia="zh-CN"/>
              </w:rPr>
              <w:t>无</w:t>
            </w:r>
          </w:p>
        </w:tc>
      </w:tr>
    </w:tbl>
    <w:p w14:paraId="5A068017">
      <w:pPr>
        <w:rPr>
          <w:rFonts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3.劳动监察仲裁经费绩效自评：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项目全年预算数为3万元，其中：一般公共预算财政拨款3万元。执行数为2.95万元，完成预算98.33%。主要是受疫情影响，部分业务未完成。</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一是及时完成区劳动人事争议调解仲裁工作；二是保证全区劳动人事争议案件完成，保证完成率100%；三是完成区劳动人事争议调解仲裁工作。保证全区劳动人事争议案件完成100%；四是提升窗口服务能力，改进工作作风，切实解决好、经办管理服务，达到人民满意度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效益指标：提升窗口服务能力，改进工作作风，切实解决好、经办管理服务达到人民满意，让人民老有所依。</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服务对象满意度指标：提高居民满意度达90%。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下一步改进措施：结合以往年度实际情况，科学测算相关工作经费预算，进一步提高预算编制的准确性。</w:t>
      </w:r>
    </w:p>
    <w:p w14:paraId="0B12E60B">
      <w:pPr>
        <w:jc w:val="center"/>
        <w:rPr>
          <w:rFonts w:hint="eastAsia" w:ascii="Arial" w:hAnsi="Arial" w:eastAsia="宋体" w:cs="Arial"/>
          <w:color w:val="000000"/>
          <w:sz w:val="27"/>
          <w:szCs w:val="27"/>
          <w:shd w:val="clear" w:color="auto" w:fill="FFFFFF"/>
          <w:lang w:eastAsia="zh-CN"/>
        </w:rPr>
      </w:pPr>
      <w:r>
        <w:rPr>
          <w:rStyle w:val="8"/>
          <w:rFonts w:ascii="Arial" w:hAnsi="Arial" w:eastAsia="宋体" w:cs="Arial"/>
          <w:color w:val="000000"/>
          <w:sz w:val="27"/>
          <w:szCs w:val="27"/>
          <w:shd w:val="clear" w:color="auto" w:fill="FFFFFF"/>
        </w:rPr>
        <w:t>劳动监察仲裁经费绩效自评</w:t>
      </w:r>
      <w:r>
        <w:rPr>
          <w:rStyle w:val="8"/>
          <w:rFonts w:hint="eastAsia" w:ascii="Arial" w:hAnsi="Arial" w:eastAsia="宋体" w:cs="Arial"/>
          <w:color w:val="000000"/>
          <w:sz w:val="27"/>
          <w:szCs w:val="27"/>
          <w:shd w:val="clear" w:color="auto"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193"/>
        <w:gridCol w:w="1235"/>
        <w:gridCol w:w="949"/>
        <w:gridCol w:w="369"/>
        <w:gridCol w:w="1458"/>
        <w:gridCol w:w="689"/>
        <w:gridCol w:w="629"/>
        <w:gridCol w:w="884"/>
      </w:tblGrid>
      <w:tr w14:paraId="7DE3D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2231D89">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47439992">
            <w:pPr>
              <w:rPr>
                <w:rFonts w:ascii="Arial"/>
                <w:sz w:val="21"/>
              </w:rPr>
            </w:pPr>
            <w:r>
              <w:rPr>
                <w:rFonts w:ascii="宋体" w:hAnsi="宋体"/>
                <w:color w:val="000000"/>
              </w:rPr>
              <w:t>劳动监察仲裁</w:t>
            </w:r>
          </w:p>
        </w:tc>
      </w:tr>
      <w:tr w14:paraId="3DAE6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EDDFB40">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5529B5B7">
            <w:pPr>
              <w:rPr>
                <w:rFonts w:ascii="Arial"/>
                <w:sz w:val="21"/>
              </w:rPr>
            </w:pPr>
            <w:r>
              <w:rPr>
                <w:rFonts w:hint="eastAsia" w:ascii="仿宋_GB2312" w:hAnsi="宋体" w:eastAsia="仿宋_GB2312" w:cs="仿宋_GB2312"/>
                <w:i w:val="0"/>
                <w:color w:val="000000"/>
                <w:kern w:val="0"/>
                <w:sz w:val="20"/>
                <w:szCs w:val="20"/>
                <w:u w:val="none"/>
                <w:lang w:val="en-US" w:eastAsia="zh-CN" w:bidi="ar"/>
              </w:rPr>
              <w:t>下陆区人力资源和社会保障局</w:t>
            </w:r>
          </w:p>
        </w:tc>
        <w:tc>
          <w:tcPr>
            <w:tcW w:w="2516" w:type="dxa"/>
            <w:gridSpan w:val="3"/>
            <w:noWrap w:val="0"/>
            <w:vAlign w:val="top"/>
          </w:tcPr>
          <w:p w14:paraId="4624BAB4">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40F7C5DA">
            <w:pPr>
              <w:rPr>
                <w:rFonts w:hint="eastAsia" w:ascii="Arial" w:eastAsia="宋体"/>
                <w:sz w:val="21"/>
                <w:lang w:val="en-US" w:eastAsia="zh-CN"/>
              </w:rPr>
            </w:pPr>
            <w:r>
              <w:rPr>
                <w:rFonts w:hint="eastAsia" w:ascii="Arial"/>
                <w:sz w:val="21"/>
                <w:lang w:val="en-US" w:eastAsia="zh-CN"/>
              </w:rPr>
              <w:t>人社局</w:t>
            </w:r>
          </w:p>
        </w:tc>
      </w:tr>
      <w:tr w14:paraId="016D9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8F4CECF">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0D80923D">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0CF4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6E87EC5C">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DC95F1A">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0B7B4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F535B2E">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0C3A584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6AF4C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3FC5537">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025015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661C796">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213" w:type="dxa"/>
            <w:gridSpan w:val="2"/>
            <w:noWrap w:val="0"/>
            <w:vAlign w:val="top"/>
          </w:tcPr>
          <w:p w14:paraId="60D70989">
            <w:pPr>
              <w:rPr>
                <w:rFonts w:ascii="Arial"/>
                <w:sz w:val="21"/>
              </w:rPr>
            </w:pPr>
          </w:p>
        </w:tc>
        <w:tc>
          <w:tcPr>
            <w:tcW w:w="1235" w:type="dxa"/>
            <w:noWrap w:val="0"/>
            <w:vAlign w:val="top"/>
          </w:tcPr>
          <w:p w14:paraId="59CBE28B">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51637923">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943683E">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B756353">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3CC32028">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591D7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EBB22AA">
            <w:pPr>
              <w:rPr>
                <w:rFonts w:ascii="Arial"/>
                <w:sz w:val="21"/>
              </w:rPr>
            </w:pPr>
          </w:p>
        </w:tc>
        <w:tc>
          <w:tcPr>
            <w:tcW w:w="1213" w:type="dxa"/>
            <w:gridSpan w:val="2"/>
            <w:noWrap w:val="0"/>
            <w:vAlign w:val="top"/>
          </w:tcPr>
          <w:p w14:paraId="41C49F8C">
            <w:pPr>
              <w:spacing w:before="59" w:line="215" w:lineRule="auto"/>
              <w:ind w:left="112" w:right="108"/>
              <w:rPr>
                <w:rFonts w:ascii="宋体" w:hAnsi="宋体" w:eastAsia="宋体" w:cs="宋体"/>
                <w:sz w:val="21"/>
                <w:szCs w:val="21"/>
              </w:rPr>
            </w:pPr>
            <w:r>
              <w:t>年度财政 资金总额</w:t>
            </w:r>
          </w:p>
        </w:tc>
        <w:tc>
          <w:tcPr>
            <w:tcW w:w="1235" w:type="dxa"/>
            <w:noWrap w:val="0"/>
            <w:vAlign w:val="top"/>
          </w:tcPr>
          <w:p w14:paraId="4A9B66FC">
            <w:pPr>
              <w:rPr>
                <w:rFonts w:hint="default" w:ascii="Arial" w:eastAsia="宋体"/>
                <w:sz w:val="21"/>
                <w:lang w:val="en-US" w:eastAsia="zh-CN"/>
              </w:rPr>
            </w:pPr>
            <w:r>
              <w:rPr>
                <w:rFonts w:hint="eastAsia" w:ascii="Arial" w:eastAsia="宋体"/>
                <w:sz w:val="21"/>
                <w:lang w:val="en-US" w:eastAsia="zh-CN"/>
              </w:rPr>
              <w:t>3</w:t>
            </w:r>
          </w:p>
        </w:tc>
        <w:tc>
          <w:tcPr>
            <w:tcW w:w="1318" w:type="dxa"/>
            <w:gridSpan w:val="2"/>
            <w:noWrap w:val="0"/>
            <w:vAlign w:val="top"/>
          </w:tcPr>
          <w:p w14:paraId="2FE5B754">
            <w:pPr>
              <w:rPr>
                <w:rFonts w:hint="default" w:ascii="Arial" w:eastAsia="宋体"/>
                <w:sz w:val="21"/>
                <w:lang w:val="en-US" w:eastAsia="zh-CN"/>
              </w:rPr>
            </w:pPr>
            <w:r>
              <w:rPr>
                <w:rFonts w:hint="eastAsia" w:ascii="Arial" w:eastAsia="宋体"/>
                <w:sz w:val="21"/>
                <w:lang w:val="en-US" w:eastAsia="zh-CN"/>
              </w:rPr>
              <w:t>3</w:t>
            </w:r>
          </w:p>
        </w:tc>
        <w:tc>
          <w:tcPr>
            <w:tcW w:w="1458" w:type="dxa"/>
            <w:noWrap w:val="0"/>
            <w:vAlign w:val="top"/>
          </w:tcPr>
          <w:p w14:paraId="53DFC045">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518B5611">
            <w:pPr>
              <w:rPr>
                <w:rFonts w:hint="default" w:ascii="Arial" w:eastAsia="宋体"/>
                <w:sz w:val="21"/>
                <w:lang w:val="en-US" w:eastAsia="zh-CN"/>
              </w:rPr>
            </w:pPr>
            <w:r>
              <w:rPr>
                <w:rFonts w:hint="eastAsia" w:ascii="Arial"/>
                <w:sz w:val="21"/>
                <w:lang w:val="en-US" w:eastAsia="zh-CN"/>
              </w:rPr>
              <w:t>20</w:t>
            </w:r>
          </w:p>
        </w:tc>
      </w:tr>
      <w:tr w14:paraId="47682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5739C2A9">
            <w:pPr>
              <w:spacing w:line="269" w:lineRule="auto"/>
              <w:rPr>
                <w:rFonts w:ascii="Arial"/>
                <w:sz w:val="21"/>
              </w:rPr>
            </w:pPr>
          </w:p>
          <w:p w14:paraId="74254DBA">
            <w:pPr>
              <w:jc w:val="both"/>
              <w:rPr>
                <w:b/>
                <w:bCs/>
              </w:rPr>
            </w:pPr>
          </w:p>
          <w:p w14:paraId="70E5533E">
            <w:pPr>
              <w:jc w:val="center"/>
              <w:rPr>
                <w:b/>
                <w:bCs/>
              </w:rPr>
            </w:pPr>
            <w:r>
              <w:rPr>
                <w:b/>
                <w:bCs/>
              </w:rPr>
              <w:t>年</w:t>
            </w:r>
          </w:p>
          <w:p w14:paraId="2AE2A05E">
            <w:pPr>
              <w:jc w:val="center"/>
              <w:rPr>
                <w:b/>
                <w:bCs/>
              </w:rPr>
            </w:pPr>
            <w:r>
              <w:rPr>
                <w:b/>
                <w:bCs/>
              </w:rPr>
              <w:t>度</w:t>
            </w:r>
          </w:p>
          <w:p w14:paraId="324CDB74">
            <w:pPr>
              <w:jc w:val="center"/>
              <w:rPr>
                <w:b/>
                <w:bCs/>
              </w:rPr>
            </w:pPr>
            <w:r>
              <w:rPr>
                <w:b/>
                <w:bCs/>
              </w:rPr>
              <w:t>绩</w:t>
            </w:r>
          </w:p>
          <w:p w14:paraId="40634F67">
            <w:pPr>
              <w:jc w:val="center"/>
              <w:rPr>
                <w:b/>
                <w:bCs/>
              </w:rPr>
            </w:pPr>
            <w:r>
              <w:rPr>
                <w:b/>
                <w:bCs/>
              </w:rPr>
              <w:t>效</w:t>
            </w:r>
          </w:p>
          <w:p w14:paraId="1B06AFBF">
            <w:pPr>
              <w:jc w:val="center"/>
              <w:rPr>
                <w:b/>
                <w:bCs/>
              </w:rPr>
            </w:pPr>
            <w:r>
              <w:rPr>
                <w:b/>
                <w:bCs/>
              </w:rPr>
              <w:t>目</w:t>
            </w:r>
          </w:p>
          <w:p w14:paraId="674366EC">
            <w:pPr>
              <w:jc w:val="center"/>
              <w:rPr>
                <w:b/>
                <w:bCs/>
              </w:rPr>
            </w:pPr>
            <w:r>
              <w:rPr>
                <w:b/>
                <w:bCs/>
              </w:rPr>
              <w:t>标</w:t>
            </w:r>
          </w:p>
          <w:p w14:paraId="30F7D91D">
            <w:pPr>
              <w:jc w:val="center"/>
              <w:rPr>
                <w:b/>
                <w:bCs/>
              </w:rPr>
            </w:pPr>
            <w:r>
              <w:rPr>
                <w:b/>
                <w:bCs/>
              </w:rPr>
              <w:t>1</w:t>
            </w:r>
          </w:p>
          <w:p w14:paraId="4D18A8A5">
            <w:pPr>
              <w:jc w:val="center"/>
              <w:rPr>
                <w:rFonts w:ascii="宋体" w:hAnsi="宋体" w:eastAsia="宋体" w:cs="宋体"/>
                <w:sz w:val="22"/>
                <w:szCs w:val="22"/>
              </w:rPr>
            </w:pPr>
            <w:r>
              <w:rPr>
                <w:b/>
                <w:bCs/>
              </w:rPr>
              <w:t>(XX分 )</w:t>
            </w:r>
          </w:p>
        </w:tc>
        <w:tc>
          <w:tcPr>
            <w:tcW w:w="689" w:type="dxa"/>
            <w:noWrap w:val="0"/>
            <w:vAlign w:val="top"/>
          </w:tcPr>
          <w:p w14:paraId="21BC42E7">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213" w:type="dxa"/>
            <w:gridSpan w:val="2"/>
            <w:noWrap w:val="0"/>
            <w:vAlign w:val="top"/>
          </w:tcPr>
          <w:p w14:paraId="12C7BE04">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553" w:type="dxa"/>
            <w:gridSpan w:val="3"/>
            <w:noWrap w:val="0"/>
            <w:vAlign w:val="top"/>
          </w:tcPr>
          <w:p w14:paraId="51E1593A">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55A98A8">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FB37BA4">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EDB2468">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1CA0BE1">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2D0960BC">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1C0BA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2DE74B70">
            <w:pPr>
              <w:rPr>
                <w:rFonts w:ascii="Arial"/>
                <w:sz w:val="21"/>
              </w:rPr>
            </w:pPr>
          </w:p>
        </w:tc>
        <w:tc>
          <w:tcPr>
            <w:tcW w:w="689" w:type="dxa"/>
            <w:vMerge w:val="restart"/>
            <w:tcBorders>
              <w:bottom w:val="nil"/>
            </w:tcBorders>
            <w:noWrap w:val="0"/>
            <w:vAlign w:val="top"/>
          </w:tcPr>
          <w:p w14:paraId="1B43DA04">
            <w:pPr>
              <w:rPr>
                <w:b/>
                <w:bCs/>
              </w:rPr>
            </w:pPr>
          </w:p>
          <w:p w14:paraId="6C05BCD5">
            <w:pPr>
              <w:jc w:val="center"/>
              <w:rPr>
                <w:b/>
                <w:bCs/>
              </w:rPr>
            </w:pPr>
            <w:r>
              <w:rPr>
                <w:b/>
                <w:bCs/>
              </w:rPr>
              <w:t>产出</w:t>
            </w:r>
          </w:p>
          <w:p w14:paraId="3B5FA5DF">
            <w:pPr>
              <w:jc w:val="center"/>
              <w:rPr>
                <w:rFonts w:hint="eastAsia" w:eastAsia="宋体"/>
                <w:b/>
                <w:bCs/>
                <w:lang w:val="en-US" w:eastAsia="zh-CN"/>
              </w:rPr>
            </w:pPr>
            <w:r>
              <w:rPr>
                <w:rFonts w:hint="eastAsia"/>
                <w:b/>
                <w:bCs/>
                <w:lang w:val="en-US" w:eastAsia="zh-CN"/>
              </w:rPr>
              <w:t>指标</w:t>
            </w:r>
          </w:p>
        </w:tc>
        <w:tc>
          <w:tcPr>
            <w:tcW w:w="1213" w:type="dxa"/>
            <w:gridSpan w:val="2"/>
            <w:noWrap w:val="0"/>
            <w:vAlign w:val="top"/>
          </w:tcPr>
          <w:p w14:paraId="5C5250E5">
            <w:pPr>
              <w:rPr>
                <w:rFonts w:hint="default"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2DC9E260">
            <w:pPr>
              <w:rPr>
                <w:rFonts w:hint="default" w:ascii="Arial" w:eastAsia="宋体"/>
                <w:kern w:val="2"/>
                <w:sz w:val="21"/>
                <w:lang w:val="en-US" w:eastAsia="zh-CN" w:bidi="ar-SA"/>
              </w:rPr>
            </w:pPr>
            <w:r>
              <w:rPr>
                <w:rFonts w:hint="eastAsia" w:ascii="Arial" w:eastAsia="宋体"/>
                <w:kern w:val="2"/>
                <w:sz w:val="21"/>
                <w:lang w:val="en-US" w:eastAsia="zh-CN" w:bidi="ar-SA"/>
              </w:rPr>
              <w:t>接收处理投诉案件</w:t>
            </w:r>
          </w:p>
        </w:tc>
        <w:tc>
          <w:tcPr>
            <w:tcW w:w="1458" w:type="dxa"/>
            <w:noWrap w:val="0"/>
            <w:vAlign w:val="top"/>
          </w:tcPr>
          <w:p w14:paraId="4C383093">
            <w:pPr>
              <w:rPr>
                <w:rFonts w:hint="default" w:ascii="Arial" w:eastAsia="宋体"/>
                <w:sz w:val="21"/>
                <w:lang w:val="en-US" w:eastAsia="zh-CN"/>
              </w:rPr>
            </w:pPr>
            <w:r>
              <w:rPr>
                <w:rFonts w:hint="eastAsia" w:ascii="Arial" w:eastAsia="宋体"/>
                <w:sz w:val="21"/>
                <w:lang w:val="en-US" w:eastAsia="zh-CN"/>
              </w:rPr>
              <w:t>良好</w:t>
            </w:r>
          </w:p>
        </w:tc>
        <w:tc>
          <w:tcPr>
            <w:tcW w:w="1318" w:type="dxa"/>
            <w:gridSpan w:val="2"/>
            <w:noWrap w:val="0"/>
            <w:vAlign w:val="top"/>
          </w:tcPr>
          <w:p w14:paraId="6ED0635F">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3CAEAD4C">
            <w:pPr>
              <w:rPr>
                <w:rFonts w:hint="default" w:ascii="Arial" w:eastAsia="宋体"/>
                <w:sz w:val="21"/>
                <w:lang w:val="en-US" w:eastAsia="zh-CN"/>
              </w:rPr>
            </w:pPr>
            <w:r>
              <w:rPr>
                <w:rFonts w:hint="eastAsia" w:ascii="Arial"/>
                <w:sz w:val="21"/>
                <w:lang w:val="en-US" w:eastAsia="zh-CN"/>
              </w:rPr>
              <w:t>20</w:t>
            </w:r>
          </w:p>
        </w:tc>
      </w:tr>
      <w:tr w14:paraId="3858D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E2E471A">
            <w:pPr>
              <w:rPr>
                <w:rFonts w:ascii="Arial"/>
                <w:sz w:val="21"/>
              </w:rPr>
            </w:pPr>
          </w:p>
        </w:tc>
        <w:tc>
          <w:tcPr>
            <w:tcW w:w="689" w:type="dxa"/>
            <w:vMerge w:val="continue"/>
            <w:tcBorders>
              <w:top w:val="nil"/>
              <w:bottom w:val="nil"/>
            </w:tcBorders>
            <w:noWrap w:val="0"/>
            <w:vAlign w:val="top"/>
          </w:tcPr>
          <w:p w14:paraId="1EAFDF21">
            <w:pPr>
              <w:rPr>
                <w:b/>
                <w:bCs/>
              </w:rPr>
            </w:pPr>
          </w:p>
        </w:tc>
        <w:tc>
          <w:tcPr>
            <w:tcW w:w="1213" w:type="dxa"/>
            <w:gridSpan w:val="2"/>
            <w:noWrap w:val="0"/>
            <w:vAlign w:val="top"/>
          </w:tcPr>
          <w:p w14:paraId="3AA4398D">
            <w:pPr>
              <w:rPr>
                <w:rFonts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01E500A9">
            <w:pPr>
              <w:rPr>
                <w:rFonts w:hint="default" w:ascii="Arial" w:eastAsia="宋体"/>
                <w:kern w:val="2"/>
                <w:sz w:val="21"/>
                <w:lang w:val="en-US" w:eastAsia="zh-CN" w:bidi="ar-SA"/>
              </w:rPr>
            </w:pPr>
            <w:r>
              <w:rPr>
                <w:rFonts w:hint="eastAsia" w:ascii="Arial" w:eastAsia="宋体"/>
                <w:kern w:val="2"/>
                <w:sz w:val="21"/>
                <w:lang w:val="en-US" w:eastAsia="zh-CN" w:bidi="ar-SA"/>
              </w:rPr>
              <w:t>接受违反劳动监察投诉</w:t>
            </w:r>
          </w:p>
        </w:tc>
        <w:tc>
          <w:tcPr>
            <w:tcW w:w="1458" w:type="dxa"/>
            <w:noWrap w:val="0"/>
            <w:vAlign w:val="top"/>
          </w:tcPr>
          <w:p w14:paraId="4F774293">
            <w:pPr>
              <w:rPr>
                <w:rFonts w:hint="default" w:ascii="Arial" w:eastAsia="宋体"/>
                <w:sz w:val="21"/>
                <w:lang w:val="en-US" w:eastAsia="zh-CN"/>
              </w:rPr>
            </w:pPr>
            <w:r>
              <w:rPr>
                <w:rFonts w:hint="eastAsia" w:ascii="Arial" w:eastAsia="宋体"/>
                <w:sz w:val="21"/>
                <w:lang w:val="en-US" w:eastAsia="zh-CN"/>
              </w:rPr>
              <w:t>全部处理</w:t>
            </w:r>
          </w:p>
        </w:tc>
        <w:tc>
          <w:tcPr>
            <w:tcW w:w="1318" w:type="dxa"/>
            <w:gridSpan w:val="2"/>
            <w:noWrap w:val="0"/>
            <w:vAlign w:val="top"/>
          </w:tcPr>
          <w:p w14:paraId="2FEB33EE">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0E255DD8">
            <w:pPr>
              <w:rPr>
                <w:rFonts w:hint="default" w:ascii="Arial" w:eastAsia="宋体"/>
                <w:sz w:val="21"/>
                <w:lang w:val="en-US" w:eastAsia="zh-CN"/>
              </w:rPr>
            </w:pPr>
            <w:r>
              <w:rPr>
                <w:rFonts w:hint="eastAsia" w:ascii="Arial"/>
                <w:sz w:val="21"/>
                <w:lang w:val="en-US" w:eastAsia="zh-CN"/>
              </w:rPr>
              <w:t>20</w:t>
            </w:r>
          </w:p>
        </w:tc>
      </w:tr>
      <w:tr w14:paraId="379B0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77E933D6">
            <w:pPr>
              <w:rPr>
                <w:rFonts w:ascii="Arial"/>
                <w:sz w:val="21"/>
              </w:rPr>
            </w:pPr>
          </w:p>
        </w:tc>
        <w:tc>
          <w:tcPr>
            <w:tcW w:w="689" w:type="dxa"/>
            <w:vMerge w:val="restart"/>
            <w:tcBorders>
              <w:bottom w:val="nil"/>
            </w:tcBorders>
            <w:noWrap w:val="0"/>
            <w:vAlign w:val="top"/>
          </w:tcPr>
          <w:p w14:paraId="4C707B5D">
            <w:pPr>
              <w:jc w:val="both"/>
              <w:rPr>
                <w:rFonts w:ascii="Calibri" w:hAnsi="Calibri" w:eastAsia="宋体" w:cs="Times New Roman"/>
                <w:b/>
                <w:bCs/>
              </w:rPr>
            </w:pPr>
          </w:p>
          <w:p w14:paraId="6494FE56">
            <w:pPr>
              <w:jc w:val="center"/>
              <w:rPr>
                <w:rFonts w:ascii="Calibri" w:hAnsi="Calibri" w:eastAsia="宋体" w:cs="Times New Roman"/>
                <w:b/>
                <w:bCs/>
              </w:rPr>
            </w:pPr>
          </w:p>
          <w:p w14:paraId="767AF691">
            <w:pPr>
              <w:jc w:val="center"/>
              <w:rPr>
                <w:rFonts w:ascii="Calibri" w:hAnsi="Calibri" w:eastAsia="宋体" w:cs="Times New Roman"/>
                <w:b/>
                <w:bCs/>
              </w:rPr>
            </w:pPr>
            <w:r>
              <w:rPr>
                <w:rFonts w:ascii="Calibri" w:hAnsi="Calibri" w:eastAsia="宋体" w:cs="Times New Roman"/>
                <w:b/>
                <w:bCs/>
              </w:rPr>
              <w:t>效益 指标</w:t>
            </w:r>
          </w:p>
        </w:tc>
        <w:tc>
          <w:tcPr>
            <w:tcW w:w="1213" w:type="dxa"/>
            <w:gridSpan w:val="2"/>
            <w:noWrap w:val="0"/>
            <w:vAlign w:val="top"/>
          </w:tcPr>
          <w:p w14:paraId="12F7DE54">
            <w:pPr>
              <w:spacing w:before="211" w:line="169" w:lineRule="exact"/>
              <w:rPr>
                <w:rFonts w:ascii="宋体" w:hAnsi="宋体" w:eastAsia="宋体" w:cs="宋体"/>
                <w:sz w:val="11"/>
                <w:szCs w:val="11"/>
              </w:rPr>
            </w:pPr>
            <w:r>
              <w:rPr>
                <w:rFonts w:hint="eastAsia" w:ascii="宋体" w:hAnsi="宋体" w:eastAsia="宋体" w:cs="宋体"/>
                <w:spacing w:val="-2"/>
                <w:sz w:val="21"/>
                <w:szCs w:val="21"/>
                <w:lang w:val="en-US" w:eastAsia="zh-CN"/>
              </w:rPr>
              <w:t>社会效益</w:t>
            </w:r>
            <w:r>
              <w:rPr>
                <w:rFonts w:ascii="宋体" w:hAnsi="宋体" w:eastAsia="宋体" w:cs="宋体"/>
                <w:spacing w:val="-2"/>
                <w:sz w:val="21"/>
                <w:szCs w:val="21"/>
              </w:rPr>
              <w:t>指标</w:t>
            </w:r>
          </w:p>
        </w:tc>
        <w:tc>
          <w:tcPr>
            <w:tcW w:w="2553" w:type="dxa"/>
            <w:gridSpan w:val="3"/>
            <w:noWrap w:val="0"/>
            <w:vAlign w:val="top"/>
          </w:tcPr>
          <w:p w14:paraId="6E83083A">
            <w:pPr>
              <w:rPr>
                <w:rFonts w:hint="default" w:ascii="Arial" w:eastAsia="宋体"/>
                <w:kern w:val="2"/>
                <w:sz w:val="21"/>
                <w:lang w:val="en-US" w:eastAsia="zh-CN" w:bidi="ar-SA"/>
              </w:rPr>
            </w:pPr>
            <w:r>
              <w:rPr>
                <w:rFonts w:hint="eastAsia" w:ascii="Arial" w:eastAsia="宋体"/>
                <w:kern w:val="2"/>
                <w:sz w:val="21"/>
                <w:lang w:val="en-US" w:eastAsia="zh-CN" w:bidi="ar-SA"/>
              </w:rPr>
              <w:t>广泛宣传劳动法</w:t>
            </w:r>
          </w:p>
        </w:tc>
        <w:tc>
          <w:tcPr>
            <w:tcW w:w="1458" w:type="dxa"/>
            <w:noWrap w:val="0"/>
            <w:vAlign w:val="top"/>
          </w:tcPr>
          <w:p w14:paraId="3E2D7E87">
            <w:pPr>
              <w:rPr>
                <w:rFonts w:hint="default" w:ascii="Arial" w:eastAsia="宋体"/>
                <w:sz w:val="21"/>
                <w:lang w:val="en-US" w:eastAsia="zh-CN"/>
              </w:rPr>
            </w:pPr>
            <w:r>
              <w:rPr>
                <w:rFonts w:hint="eastAsia" w:ascii="Arial" w:eastAsia="宋体"/>
                <w:sz w:val="21"/>
                <w:lang w:val="en-US" w:eastAsia="zh-CN"/>
              </w:rPr>
              <w:t>良好</w:t>
            </w:r>
          </w:p>
        </w:tc>
        <w:tc>
          <w:tcPr>
            <w:tcW w:w="1318" w:type="dxa"/>
            <w:gridSpan w:val="2"/>
            <w:noWrap w:val="0"/>
            <w:vAlign w:val="top"/>
          </w:tcPr>
          <w:p w14:paraId="2553E86C">
            <w:pPr>
              <w:rPr>
                <w:rFonts w:hint="default" w:ascii="Arial" w:eastAsia="宋体"/>
                <w:sz w:val="21"/>
                <w:lang w:val="en-US" w:eastAsia="zh-CN"/>
              </w:rPr>
            </w:pPr>
            <w:r>
              <w:rPr>
                <w:rFonts w:hint="eastAsia" w:ascii="Arial" w:eastAsia="宋体"/>
                <w:sz w:val="21"/>
                <w:lang w:val="en-US" w:eastAsia="zh-CN"/>
              </w:rPr>
              <w:t>7次</w:t>
            </w:r>
            <w:r>
              <w:rPr>
                <w:rFonts w:hint="default" w:ascii="Arial" w:hAnsi="Arial" w:eastAsia="宋体" w:cs="Arial"/>
                <w:sz w:val="21"/>
                <w:lang w:val="en-US" w:eastAsia="zh-CN"/>
              </w:rPr>
              <w:t>≥</w:t>
            </w:r>
            <w:r>
              <w:rPr>
                <w:rFonts w:hint="eastAsia" w:ascii="Arial" w:eastAsia="宋体"/>
                <w:sz w:val="21"/>
                <w:lang w:val="en-US" w:eastAsia="zh-CN"/>
              </w:rPr>
              <w:t>1000人</w:t>
            </w:r>
          </w:p>
        </w:tc>
        <w:tc>
          <w:tcPr>
            <w:tcW w:w="884" w:type="dxa"/>
            <w:noWrap w:val="0"/>
            <w:vAlign w:val="top"/>
          </w:tcPr>
          <w:p w14:paraId="150AAB74">
            <w:pPr>
              <w:rPr>
                <w:rFonts w:hint="default" w:ascii="Arial" w:eastAsia="宋体"/>
                <w:sz w:val="21"/>
                <w:lang w:val="en-US" w:eastAsia="zh-CN"/>
              </w:rPr>
            </w:pPr>
            <w:r>
              <w:rPr>
                <w:rFonts w:hint="eastAsia" w:ascii="Arial"/>
                <w:sz w:val="21"/>
                <w:lang w:val="en-US" w:eastAsia="zh-CN"/>
              </w:rPr>
              <w:t>15</w:t>
            </w:r>
          </w:p>
        </w:tc>
      </w:tr>
      <w:tr w14:paraId="055CE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0629691">
            <w:pPr>
              <w:rPr>
                <w:rFonts w:ascii="Arial"/>
                <w:sz w:val="21"/>
              </w:rPr>
            </w:pPr>
          </w:p>
        </w:tc>
        <w:tc>
          <w:tcPr>
            <w:tcW w:w="689" w:type="dxa"/>
            <w:vMerge w:val="continue"/>
            <w:tcBorders>
              <w:top w:val="nil"/>
              <w:bottom w:val="nil"/>
            </w:tcBorders>
            <w:noWrap w:val="0"/>
            <w:vAlign w:val="top"/>
          </w:tcPr>
          <w:p w14:paraId="3B479A52">
            <w:pPr>
              <w:jc w:val="center"/>
              <w:rPr>
                <w:rFonts w:ascii="Calibri" w:hAnsi="Calibri" w:eastAsia="宋体" w:cs="Times New Roman"/>
                <w:b/>
                <w:bCs/>
              </w:rPr>
            </w:pPr>
          </w:p>
        </w:tc>
        <w:tc>
          <w:tcPr>
            <w:tcW w:w="1213" w:type="dxa"/>
            <w:gridSpan w:val="2"/>
            <w:noWrap w:val="0"/>
            <w:vAlign w:val="top"/>
          </w:tcPr>
          <w:p w14:paraId="1E1E9350">
            <w:pPr>
              <w:spacing w:before="177" w:line="342" w:lineRule="exact"/>
              <w:rPr>
                <w:rFonts w:ascii="宋体" w:hAnsi="宋体" w:eastAsia="宋体" w:cs="宋体"/>
                <w:sz w:val="22"/>
                <w:szCs w:val="22"/>
              </w:rPr>
            </w:pPr>
            <w:r>
              <w:rPr>
                <w:rFonts w:ascii="宋体" w:hAnsi="宋体" w:eastAsia="宋体" w:cs="宋体"/>
                <w:spacing w:val="-2"/>
                <w:sz w:val="21"/>
                <w:szCs w:val="21"/>
              </w:rPr>
              <w:t>数量指标</w:t>
            </w:r>
          </w:p>
        </w:tc>
        <w:tc>
          <w:tcPr>
            <w:tcW w:w="2553" w:type="dxa"/>
            <w:gridSpan w:val="3"/>
            <w:noWrap w:val="0"/>
            <w:vAlign w:val="top"/>
          </w:tcPr>
          <w:p w14:paraId="036CC48B">
            <w:pPr>
              <w:rPr>
                <w:rFonts w:hint="default" w:ascii="Arial" w:eastAsia="宋体"/>
                <w:kern w:val="2"/>
                <w:sz w:val="21"/>
                <w:lang w:val="en-US" w:eastAsia="zh-CN" w:bidi="ar-SA"/>
              </w:rPr>
            </w:pPr>
          </w:p>
        </w:tc>
        <w:tc>
          <w:tcPr>
            <w:tcW w:w="1458" w:type="dxa"/>
            <w:noWrap w:val="0"/>
            <w:vAlign w:val="top"/>
          </w:tcPr>
          <w:p w14:paraId="2458A9F9">
            <w:pPr>
              <w:rPr>
                <w:rFonts w:hint="default" w:ascii="Arial" w:eastAsia="宋体"/>
                <w:sz w:val="21"/>
                <w:lang w:val="en-US" w:eastAsia="zh-CN"/>
              </w:rPr>
            </w:pPr>
          </w:p>
        </w:tc>
        <w:tc>
          <w:tcPr>
            <w:tcW w:w="1318" w:type="dxa"/>
            <w:gridSpan w:val="2"/>
            <w:noWrap w:val="0"/>
            <w:vAlign w:val="top"/>
          </w:tcPr>
          <w:p w14:paraId="66D00B28">
            <w:pPr>
              <w:rPr>
                <w:rFonts w:hint="default" w:ascii="Arial" w:eastAsia="宋体"/>
                <w:sz w:val="21"/>
                <w:lang w:val="en-US" w:eastAsia="zh-CN"/>
              </w:rPr>
            </w:pPr>
          </w:p>
        </w:tc>
        <w:tc>
          <w:tcPr>
            <w:tcW w:w="884" w:type="dxa"/>
            <w:noWrap w:val="0"/>
            <w:vAlign w:val="top"/>
          </w:tcPr>
          <w:p w14:paraId="76400179">
            <w:pPr>
              <w:rPr>
                <w:rFonts w:ascii="Arial"/>
                <w:sz w:val="21"/>
              </w:rPr>
            </w:pPr>
          </w:p>
        </w:tc>
      </w:tr>
      <w:tr w14:paraId="08953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C43EC03">
            <w:pPr>
              <w:rPr>
                <w:rFonts w:ascii="Arial"/>
                <w:sz w:val="21"/>
              </w:rPr>
            </w:pPr>
          </w:p>
        </w:tc>
        <w:tc>
          <w:tcPr>
            <w:tcW w:w="689" w:type="dxa"/>
            <w:vMerge w:val="restart"/>
            <w:tcBorders>
              <w:bottom w:val="nil"/>
            </w:tcBorders>
            <w:noWrap w:val="0"/>
            <w:vAlign w:val="top"/>
          </w:tcPr>
          <w:p w14:paraId="22334B22">
            <w:pPr>
              <w:jc w:val="center"/>
              <w:rPr>
                <w:rFonts w:ascii="Calibri" w:hAnsi="Calibri" w:eastAsia="宋体" w:cs="Times New Roman"/>
                <w:b/>
                <w:bCs/>
              </w:rPr>
            </w:pPr>
            <w:r>
              <w:rPr>
                <w:rFonts w:ascii="Calibri" w:hAnsi="Calibri" w:eastAsia="宋体" w:cs="Times New Roman"/>
                <w:b/>
                <w:bCs/>
              </w:rPr>
              <w:t>满意</w:t>
            </w:r>
          </w:p>
          <w:p w14:paraId="0AB20552">
            <w:pPr>
              <w:jc w:val="center"/>
              <w:rPr>
                <w:rFonts w:ascii="Calibri" w:hAnsi="Calibri" w:eastAsia="宋体" w:cs="Times New Roman"/>
                <w:b/>
                <w:bCs/>
              </w:rPr>
            </w:pPr>
            <w:r>
              <w:rPr>
                <w:rFonts w:ascii="Calibri" w:hAnsi="Calibri" w:eastAsia="宋体" w:cs="Times New Roman"/>
                <w:b/>
                <w:bCs/>
              </w:rPr>
              <w:t>度指</w:t>
            </w:r>
          </w:p>
          <w:p w14:paraId="3FD72AF5">
            <w:pPr>
              <w:jc w:val="center"/>
              <w:rPr>
                <w:rFonts w:ascii="Calibri" w:hAnsi="Calibri" w:eastAsia="宋体" w:cs="Times New Roman"/>
                <w:b/>
                <w:bCs/>
              </w:rPr>
            </w:pPr>
            <w:r>
              <w:rPr>
                <w:rFonts w:ascii="Calibri" w:hAnsi="Calibri" w:eastAsia="宋体" w:cs="Times New Roman"/>
                <w:b/>
                <w:bCs/>
              </w:rPr>
              <w:t>标</w:t>
            </w:r>
          </w:p>
        </w:tc>
        <w:tc>
          <w:tcPr>
            <w:tcW w:w="1213" w:type="dxa"/>
            <w:gridSpan w:val="2"/>
            <w:noWrap w:val="0"/>
            <w:vAlign w:val="top"/>
          </w:tcPr>
          <w:p w14:paraId="75FAB053">
            <w:pPr>
              <w:spacing w:before="224" w:line="173" w:lineRule="exact"/>
              <w:rPr>
                <w:rFonts w:hint="default" w:ascii="宋体" w:hAnsi="宋体" w:eastAsia="宋体" w:cs="宋体"/>
                <w:sz w:val="11"/>
                <w:szCs w:val="11"/>
                <w:lang w:val="en-US" w:eastAsia="zh-CN"/>
              </w:rPr>
            </w:pPr>
            <w:r>
              <w:rPr>
                <w:rFonts w:hint="eastAsia" w:ascii="宋体" w:hAnsi="宋体" w:eastAsia="宋体" w:cs="宋体"/>
                <w:spacing w:val="-2"/>
                <w:sz w:val="21"/>
                <w:szCs w:val="21"/>
                <w:lang w:val="en-US" w:eastAsia="zh-CN"/>
              </w:rPr>
              <w:t>群众满意度</w:t>
            </w:r>
          </w:p>
        </w:tc>
        <w:tc>
          <w:tcPr>
            <w:tcW w:w="2553" w:type="dxa"/>
            <w:gridSpan w:val="3"/>
            <w:noWrap w:val="0"/>
            <w:vAlign w:val="top"/>
          </w:tcPr>
          <w:p w14:paraId="2773352C">
            <w:pPr>
              <w:rPr>
                <w:rFonts w:hint="default" w:ascii="Arial" w:eastAsia="宋体"/>
                <w:sz w:val="21"/>
                <w:lang w:val="en-US" w:eastAsia="zh-CN"/>
              </w:rPr>
            </w:pPr>
            <w:r>
              <w:rPr>
                <w:rFonts w:hint="eastAsia" w:ascii="Arial"/>
                <w:sz w:val="21"/>
                <w:lang w:val="en-US" w:eastAsia="zh-CN"/>
              </w:rPr>
              <w:t>100%</w:t>
            </w:r>
          </w:p>
        </w:tc>
        <w:tc>
          <w:tcPr>
            <w:tcW w:w="1458" w:type="dxa"/>
            <w:noWrap w:val="0"/>
            <w:vAlign w:val="top"/>
          </w:tcPr>
          <w:p w14:paraId="5D9D4B6A">
            <w:pPr>
              <w:rPr>
                <w:rFonts w:ascii="Arial"/>
                <w:sz w:val="21"/>
              </w:rPr>
            </w:pPr>
            <w:r>
              <w:rPr>
                <w:rFonts w:hint="eastAsia" w:ascii="Arial"/>
                <w:sz w:val="21"/>
                <w:lang w:val="en-US" w:eastAsia="zh-CN"/>
              </w:rPr>
              <w:t>100%</w:t>
            </w:r>
          </w:p>
        </w:tc>
        <w:tc>
          <w:tcPr>
            <w:tcW w:w="1318" w:type="dxa"/>
            <w:gridSpan w:val="2"/>
            <w:noWrap w:val="0"/>
            <w:vAlign w:val="top"/>
          </w:tcPr>
          <w:p w14:paraId="5206C445">
            <w:pPr>
              <w:rPr>
                <w:rFonts w:ascii="Arial"/>
                <w:sz w:val="21"/>
              </w:rPr>
            </w:pPr>
            <w:r>
              <w:rPr>
                <w:rFonts w:hint="eastAsia" w:ascii="Arial"/>
                <w:sz w:val="21"/>
                <w:lang w:val="en-US" w:eastAsia="zh-CN"/>
              </w:rPr>
              <w:t>100%</w:t>
            </w:r>
          </w:p>
        </w:tc>
        <w:tc>
          <w:tcPr>
            <w:tcW w:w="884" w:type="dxa"/>
            <w:noWrap w:val="0"/>
            <w:vAlign w:val="top"/>
          </w:tcPr>
          <w:p w14:paraId="1A575716">
            <w:pPr>
              <w:rPr>
                <w:rFonts w:hint="default" w:ascii="Arial" w:eastAsia="宋体"/>
                <w:sz w:val="21"/>
                <w:lang w:val="en-US" w:eastAsia="zh-CN"/>
              </w:rPr>
            </w:pPr>
            <w:r>
              <w:rPr>
                <w:rFonts w:hint="eastAsia" w:ascii="Arial"/>
                <w:sz w:val="21"/>
                <w:lang w:val="en-US" w:eastAsia="zh-CN"/>
              </w:rPr>
              <w:t>20</w:t>
            </w:r>
          </w:p>
        </w:tc>
      </w:tr>
      <w:tr w14:paraId="5B926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35CCB68E">
            <w:pPr>
              <w:rPr>
                <w:rFonts w:ascii="Arial"/>
                <w:sz w:val="21"/>
              </w:rPr>
            </w:pPr>
          </w:p>
        </w:tc>
        <w:tc>
          <w:tcPr>
            <w:tcW w:w="689" w:type="dxa"/>
            <w:vMerge w:val="continue"/>
            <w:tcBorders>
              <w:top w:val="nil"/>
            </w:tcBorders>
            <w:noWrap w:val="0"/>
            <w:vAlign w:val="top"/>
          </w:tcPr>
          <w:p w14:paraId="13ECCD3C">
            <w:pPr>
              <w:rPr>
                <w:rFonts w:ascii="Arial"/>
                <w:sz w:val="21"/>
              </w:rPr>
            </w:pPr>
          </w:p>
        </w:tc>
        <w:tc>
          <w:tcPr>
            <w:tcW w:w="1213" w:type="dxa"/>
            <w:gridSpan w:val="2"/>
            <w:noWrap w:val="0"/>
            <w:vAlign w:val="top"/>
          </w:tcPr>
          <w:p w14:paraId="18D420F8">
            <w:pPr>
              <w:rPr>
                <w:rFonts w:ascii="Arial"/>
                <w:sz w:val="21"/>
              </w:rPr>
            </w:pPr>
          </w:p>
        </w:tc>
        <w:tc>
          <w:tcPr>
            <w:tcW w:w="2553" w:type="dxa"/>
            <w:gridSpan w:val="3"/>
            <w:noWrap w:val="0"/>
            <w:vAlign w:val="top"/>
          </w:tcPr>
          <w:p w14:paraId="3B592B38">
            <w:pPr>
              <w:rPr>
                <w:rFonts w:ascii="Arial"/>
                <w:sz w:val="21"/>
              </w:rPr>
            </w:pPr>
          </w:p>
        </w:tc>
        <w:tc>
          <w:tcPr>
            <w:tcW w:w="1458" w:type="dxa"/>
            <w:noWrap w:val="0"/>
            <w:vAlign w:val="top"/>
          </w:tcPr>
          <w:p w14:paraId="0F744742">
            <w:pPr>
              <w:rPr>
                <w:rFonts w:ascii="Arial"/>
                <w:sz w:val="21"/>
              </w:rPr>
            </w:pPr>
          </w:p>
        </w:tc>
        <w:tc>
          <w:tcPr>
            <w:tcW w:w="1318" w:type="dxa"/>
            <w:gridSpan w:val="2"/>
            <w:noWrap w:val="0"/>
            <w:vAlign w:val="top"/>
          </w:tcPr>
          <w:p w14:paraId="705A239A">
            <w:pPr>
              <w:rPr>
                <w:rFonts w:ascii="Arial"/>
                <w:sz w:val="21"/>
              </w:rPr>
            </w:pPr>
          </w:p>
        </w:tc>
        <w:tc>
          <w:tcPr>
            <w:tcW w:w="884" w:type="dxa"/>
            <w:noWrap w:val="0"/>
            <w:vAlign w:val="top"/>
          </w:tcPr>
          <w:p w14:paraId="38E25236">
            <w:pPr>
              <w:rPr>
                <w:rFonts w:ascii="Arial"/>
                <w:sz w:val="21"/>
              </w:rPr>
            </w:pPr>
          </w:p>
        </w:tc>
      </w:tr>
      <w:tr w14:paraId="4D019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3EA07641">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3F0203FC">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6A450B45">
            <w:pPr>
              <w:rPr>
                <w:rFonts w:ascii="Arial"/>
                <w:sz w:val="21"/>
              </w:rPr>
            </w:pPr>
          </w:p>
        </w:tc>
        <w:tc>
          <w:tcPr>
            <w:tcW w:w="1213" w:type="dxa"/>
            <w:gridSpan w:val="2"/>
            <w:noWrap w:val="0"/>
            <w:vAlign w:val="top"/>
          </w:tcPr>
          <w:p w14:paraId="6CF4FE64">
            <w:pPr>
              <w:rPr>
                <w:rFonts w:ascii="Arial"/>
                <w:sz w:val="21"/>
              </w:rPr>
            </w:pPr>
          </w:p>
        </w:tc>
        <w:tc>
          <w:tcPr>
            <w:tcW w:w="2553" w:type="dxa"/>
            <w:gridSpan w:val="3"/>
            <w:noWrap w:val="0"/>
            <w:vAlign w:val="top"/>
          </w:tcPr>
          <w:p w14:paraId="72C0ED7B">
            <w:pPr>
              <w:rPr>
                <w:rFonts w:ascii="Arial"/>
                <w:sz w:val="21"/>
              </w:rPr>
            </w:pPr>
          </w:p>
        </w:tc>
        <w:tc>
          <w:tcPr>
            <w:tcW w:w="1458" w:type="dxa"/>
            <w:noWrap w:val="0"/>
            <w:vAlign w:val="top"/>
          </w:tcPr>
          <w:p w14:paraId="3E702551">
            <w:pPr>
              <w:rPr>
                <w:rFonts w:ascii="Arial"/>
                <w:sz w:val="21"/>
              </w:rPr>
            </w:pPr>
          </w:p>
        </w:tc>
        <w:tc>
          <w:tcPr>
            <w:tcW w:w="1318" w:type="dxa"/>
            <w:gridSpan w:val="2"/>
            <w:noWrap w:val="0"/>
            <w:vAlign w:val="top"/>
          </w:tcPr>
          <w:p w14:paraId="13CB5E2D">
            <w:pPr>
              <w:rPr>
                <w:rFonts w:ascii="Arial"/>
                <w:sz w:val="21"/>
              </w:rPr>
            </w:pPr>
          </w:p>
        </w:tc>
        <w:tc>
          <w:tcPr>
            <w:tcW w:w="884" w:type="dxa"/>
            <w:noWrap w:val="0"/>
            <w:vAlign w:val="top"/>
          </w:tcPr>
          <w:p w14:paraId="443BC882">
            <w:pPr>
              <w:rPr>
                <w:rFonts w:ascii="Arial"/>
                <w:sz w:val="21"/>
              </w:rPr>
            </w:pPr>
          </w:p>
        </w:tc>
      </w:tr>
      <w:tr w14:paraId="462B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1B6242F">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7A56641">
            <w:pPr>
              <w:rPr>
                <w:rFonts w:ascii="Arial"/>
                <w:sz w:val="21"/>
              </w:rPr>
            </w:pPr>
          </w:p>
        </w:tc>
        <w:tc>
          <w:tcPr>
            <w:tcW w:w="1213" w:type="dxa"/>
            <w:gridSpan w:val="2"/>
            <w:noWrap w:val="0"/>
            <w:vAlign w:val="top"/>
          </w:tcPr>
          <w:p w14:paraId="5405DA03">
            <w:pPr>
              <w:rPr>
                <w:rFonts w:ascii="Arial"/>
                <w:sz w:val="21"/>
              </w:rPr>
            </w:pPr>
          </w:p>
        </w:tc>
        <w:tc>
          <w:tcPr>
            <w:tcW w:w="2553" w:type="dxa"/>
            <w:gridSpan w:val="3"/>
            <w:noWrap w:val="0"/>
            <w:vAlign w:val="top"/>
          </w:tcPr>
          <w:p w14:paraId="72967DBB">
            <w:pPr>
              <w:rPr>
                <w:rFonts w:ascii="Arial"/>
                <w:sz w:val="21"/>
              </w:rPr>
            </w:pPr>
          </w:p>
        </w:tc>
        <w:tc>
          <w:tcPr>
            <w:tcW w:w="1458" w:type="dxa"/>
            <w:noWrap w:val="0"/>
            <w:vAlign w:val="top"/>
          </w:tcPr>
          <w:p w14:paraId="778AFDD0">
            <w:pPr>
              <w:rPr>
                <w:rFonts w:ascii="Arial"/>
                <w:sz w:val="21"/>
              </w:rPr>
            </w:pPr>
          </w:p>
        </w:tc>
        <w:tc>
          <w:tcPr>
            <w:tcW w:w="1318" w:type="dxa"/>
            <w:gridSpan w:val="2"/>
            <w:noWrap w:val="0"/>
            <w:vAlign w:val="top"/>
          </w:tcPr>
          <w:p w14:paraId="784BF4CC">
            <w:pPr>
              <w:rPr>
                <w:rFonts w:ascii="Arial"/>
                <w:sz w:val="21"/>
              </w:rPr>
            </w:pPr>
          </w:p>
        </w:tc>
        <w:tc>
          <w:tcPr>
            <w:tcW w:w="884" w:type="dxa"/>
            <w:noWrap w:val="0"/>
            <w:vAlign w:val="top"/>
          </w:tcPr>
          <w:p w14:paraId="771C9EF8">
            <w:pPr>
              <w:rPr>
                <w:rFonts w:ascii="Arial"/>
                <w:sz w:val="21"/>
              </w:rPr>
            </w:pPr>
          </w:p>
        </w:tc>
      </w:tr>
      <w:tr w14:paraId="746D1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7262A1E">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4D579151">
            <w:pPr>
              <w:jc w:val="center"/>
              <w:rPr>
                <w:rFonts w:hint="default" w:ascii="Arial" w:eastAsia="宋体"/>
                <w:sz w:val="21"/>
                <w:lang w:val="en-US" w:eastAsia="zh-CN"/>
              </w:rPr>
            </w:pPr>
            <w:r>
              <w:rPr>
                <w:rFonts w:hint="eastAsia" w:ascii="Arial"/>
                <w:sz w:val="21"/>
                <w:lang w:val="en-US" w:eastAsia="zh-CN"/>
              </w:rPr>
              <w:t>95</w:t>
            </w:r>
          </w:p>
        </w:tc>
      </w:tr>
      <w:tr w14:paraId="29CF3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523" w:type="dxa"/>
            <w:gridSpan w:val="3"/>
            <w:noWrap w:val="0"/>
            <w:vAlign w:val="top"/>
          </w:tcPr>
          <w:p w14:paraId="1ED609E4">
            <w:pPr>
              <w:spacing w:line="242" w:lineRule="auto"/>
              <w:rPr>
                <w:rFonts w:ascii="Arial"/>
                <w:b/>
                <w:bCs/>
                <w:sz w:val="21"/>
              </w:rPr>
            </w:pPr>
          </w:p>
          <w:p w14:paraId="38CDA948">
            <w:pPr>
              <w:jc w:val="center"/>
              <w:rPr>
                <w:b/>
                <w:bCs/>
              </w:rPr>
            </w:pPr>
            <w:r>
              <w:rPr>
                <w:b/>
                <w:bCs/>
              </w:rPr>
              <w:t>偏差大或</w:t>
            </w:r>
          </w:p>
          <w:p w14:paraId="39B8C306">
            <w:pPr>
              <w:jc w:val="center"/>
              <w:rPr>
                <w:b/>
                <w:bCs/>
              </w:rPr>
            </w:pPr>
            <w:r>
              <w:rPr>
                <w:b/>
                <w:bCs/>
              </w:rPr>
              <w:t>目标未完成</w:t>
            </w:r>
          </w:p>
          <w:p w14:paraId="22DAB1B1">
            <w:pPr>
              <w:jc w:val="center"/>
              <w:rPr>
                <w:rFonts w:ascii="宋体" w:hAnsi="宋体" w:eastAsia="宋体" w:cs="宋体"/>
                <w:sz w:val="20"/>
                <w:szCs w:val="20"/>
              </w:rPr>
            </w:pPr>
            <w:r>
              <w:rPr>
                <w:b/>
                <w:bCs/>
              </w:rPr>
              <w:t>原因分析</w:t>
            </w:r>
          </w:p>
        </w:tc>
        <w:tc>
          <w:tcPr>
            <w:tcW w:w="7406" w:type="dxa"/>
            <w:gridSpan w:val="8"/>
            <w:noWrap w:val="0"/>
            <w:vAlign w:val="top"/>
          </w:tcPr>
          <w:p w14:paraId="110D8A16">
            <w:pPr>
              <w:jc w:val="center"/>
              <w:rPr>
                <w:rFonts w:hint="default" w:ascii="Arial" w:eastAsia="宋体"/>
                <w:sz w:val="21"/>
                <w:lang w:val="en-US" w:eastAsia="zh-CN"/>
              </w:rPr>
            </w:pPr>
            <w:r>
              <w:rPr>
                <w:rFonts w:hint="eastAsia" w:ascii="Arial" w:eastAsia="宋体"/>
                <w:sz w:val="21"/>
                <w:lang w:val="en-US" w:eastAsia="zh-CN"/>
              </w:rPr>
              <w:t>无</w:t>
            </w:r>
          </w:p>
        </w:tc>
      </w:tr>
      <w:tr w14:paraId="5F243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14:paraId="4D8B050D">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5F0D7EBB">
            <w:pPr>
              <w:jc w:val="center"/>
              <w:rPr>
                <w:rFonts w:hint="eastAsia" w:ascii="Arial" w:eastAsia="宋体"/>
                <w:sz w:val="21"/>
                <w:lang w:eastAsia="zh-CN"/>
              </w:rPr>
            </w:pPr>
            <w:r>
              <w:rPr>
                <w:rFonts w:hint="eastAsia" w:ascii="Arial"/>
                <w:sz w:val="21"/>
                <w:lang w:eastAsia="zh-CN"/>
              </w:rPr>
              <w:t>无</w:t>
            </w:r>
          </w:p>
        </w:tc>
      </w:tr>
    </w:tbl>
    <w:p w14:paraId="3FBA1EA5">
      <w:pPr>
        <w:rPr>
          <w:rFonts w:ascii="Arial" w:hAnsi="Arial" w:eastAsia="宋体" w:cs="Arial"/>
          <w:color w:val="000000"/>
          <w:kern w:val="0"/>
          <w:szCs w:val="21"/>
          <w:shd w:val="clear" w:color="auto" w:fill="FFFFFF"/>
        </w:rPr>
      </w:pP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（三）绩效评级结果应用情况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1.部门绩效评价结果应用情况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2.部门绩效评价结果拟应用情况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第四部分、名词解释</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一、财政拨款收入：指财政部门当年拨付的资金。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二、事业收入：指事业单位开展专业业务活动及辅助活动所取得的收入。</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三、经营收入：指事业单位在专业业务活动及其辅助活动之外开展非独立核算经营活动取得的收入。</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四、其他收入：指除上述“财政拨款收入”、“事业收入”、“经营收入”等以外的收入。</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六、年初结转和结余：指以前年度尚未完成、结转到本年 按有关规定继续使用的资金。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七、结余分配：指事业单位按规定提取的职工福利基金、事业基金和缴纳的所得税，以及建设单位按规定应交回的基本建设竣工项目结余资金。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八、年末结转和结余：指本年度或以前年度预算安排、因客观条件发生变化无法按原计划实施，需要延迟到以后年度按有关规定继续使用的资金。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九、基本支出：指为保障机构正常运转、完成日常工作任务而发生的人员支出和公用支出。</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十、项目支出：指在基本支出之外为完成特定行政任务和事业发展目标所发生的支出。</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十一、经营支出：指事业单位在专业业务活动及其辅助活动之外开展非独立核算经营活动发生的支出。</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FhNjA2ZWZkMDRhZjNkYTVkZWUxZjllNzk0YTk2NWIifQ=="/>
  </w:docVars>
  <w:rsids>
    <w:rsidRoot w:val="65AE1E5E"/>
    <w:rsid w:val="0010796D"/>
    <w:rsid w:val="00132A74"/>
    <w:rsid w:val="00162918"/>
    <w:rsid w:val="00192DB6"/>
    <w:rsid w:val="001C7D83"/>
    <w:rsid w:val="002552A6"/>
    <w:rsid w:val="00353668"/>
    <w:rsid w:val="003E3779"/>
    <w:rsid w:val="004B5C1F"/>
    <w:rsid w:val="008430BD"/>
    <w:rsid w:val="009A30FE"/>
    <w:rsid w:val="00C67CD6"/>
    <w:rsid w:val="00C86FB3"/>
    <w:rsid w:val="00CD1E30"/>
    <w:rsid w:val="00CD4DAC"/>
    <w:rsid w:val="00D366A4"/>
    <w:rsid w:val="00DF47D6"/>
    <w:rsid w:val="00F30094"/>
    <w:rsid w:val="023E6AAD"/>
    <w:rsid w:val="02CF665F"/>
    <w:rsid w:val="03B30892"/>
    <w:rsid w:val="0D2072D9"/>
    <w:rsid w:val="1D7413CB"/>
    <w:rsid w:val="1D9747ED"/>
    <w:rsid w:val="2C4B2398"/>
    <w:rsid w:val="2DB269AB"/>
    <w:rsid w:val="3BEF79C0"/>
    <w:rsid w:val="3BFD48F2"/>
    <w:rsid w:val="451D3ECC"/>
    <w:rsid w:val="48B62122"/>
    <w:rsid w:val="491E36A6"/>
    <w:rsid w:val="4B8C5E02"/>
    <w:rsid w:val="4F1C7DC8"/>
    <w:rsid w:val="4FBE7A50"/>
    <w:rsid w:val="59053CBD"/>
    <w:rsid w:val="61BA4586"/>
    <w:rsid w:val="61FA4220"/>
    <w:rsid w:val="65AE1E5E"/>
    <w:rsid w:val="677272CC"/>
    <w:rsid w:val="69A87FE8"/>
    <w:rsid w:val="77A0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4356</Words>
  <Characters>4865</Characters>
  <Lines>49</Lines>
  <Paragraphs>14</Paragraphs>
  <TotalTime>0</TotalTime>
  <ScaleCrop>false</ScaleCrop>
  <LinksUpToDate>false</LinksUpToDate>
  <CharactersWithSpaces>4944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2023-05-12T03:56:00Z</dcterms:created>
  <dc:creator>Administrator</dc:creator>
  <cp:lastModifiedBy>时间的尽头</cp:lastModifiedBy>
  <cp:lastPrinted>2023-07-24T06:59:00Z</cp:lastPrinted>
  <dcterms:modified xsi:type="dcterms:W3CDTF">2025-03-14T03:33:23Z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C328B2885473477EA6E44E95921827D0_13</vt:lpwstr>
  </property>
  <property fmtid="{D5CDD505-2E9C-101B-9397-08002B2CF9AE}" pid="4" name="KSOTemplateDocerSaveRecord">
    <vt:lpwstr>eyJoZGlkIjoiOTc4OTdhNTgyZmEzODBmNjY4YjAzM2FjZjRjYmE5ZDgiLCJ1c2VySWQiOiI1NTk0Mjk4NTAifQ==</vt:lpwstr>
  </property>
</Properties>
</file>