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i w:val="0"/>
          <w:iCs w:val="0"/>
          <w:caps w:val="0"/>
          <w:color w:val="222222"/>
          <w:spacing w:val="0"/>
          <w:sz w:val="33"/>
          <w:szCs w:val="33"/>
        </w:rPr>
      </w:pPr>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w:t>
      </w:r>
    </w:p>
    <w:p>
      <w:r>
        <w:rPr>
          <w:rStyle w:val="4"/>
          <w:rFonts w:hint="default" w:ascii="Arial" w:hAnsi="Arial" w:eastAsia="宋体" w:cs="Arial"/>
          <w:i w:val="0"/>
          <w:iCs w:val="0"/>
          <w:caps w:val="0"/>
          <w:color w:val="222222"/>
          <w:spacing w:val="0"/>
          <w:sz w:val="24"/>
          <w:szCs w:val="24"/>
        </w:rPr>
        <w:t>黄石市下陆区教育局（汇总）2021年度部门决算及“三公”经费决算情况说明</w:t>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1、贯彻执行党和国家关于教育改革和发展的各项方针、政策、法律、法规。</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2、在区委领导下，负责区属学校党的工作、思想政治工作和稳定工作；管理直属单位后备干部队伍建设；组织指导、协调教育系统干部培训工作。</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3、负责全区各级各类教育的统筹规划和协调管理；指导协调全区各级各类学校的教育、教学改革。</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4、负责本部门教育经费的统筹管理；会同区财政局编制全区教育系统经费预决算；监督全区教育经费的筹措和使用；组织指导资助贫困家庭学生工作；负责指导学校基建维修工作。</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5、负责推进义务教育均衡发展和促进教育公平，负责义务教育的宏观指导与协调；管理指导普通中小学教育、协助管理幼儿教育，全面实施素质教育；督促检查全区各类学校的办学标准、教学基本要求、教学基本文件的落实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6、负责全区的教育督导工作；负责组织和指导对基础教育发展水平、质量的监测工作；承担教育督导的日常管理工作。</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7、协调管理社会力量举办的义务教育的业务工作；指导以就业为导向的职业教育的发展与改革工作。</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8、指导各类学校的思想政治教育工作、德育工作、体育卫生与艺术教育及国防教育工作。</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9、主管全区教师工作。组织实施初中及其以下学校教师资格证书制度；统筹规划学校教师和管理人员的队伍建设；承担中小学教师继续教育工作；指导全区教育系统人才队伍建设。</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10、做好全区中小学的设置、合并、撤销、变更的审核或申报工作。</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11、指导、协调全区中小学校后勤、校办产业和勤工俭学工作；负责全区教育信息统计、分析和发布；负责教育系统财务核算工作。协调学校及周边治安综合治理工作；指导中小学校安全管理工作。</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12、民办初中、民办培训机构、民办小学、幼儿园的审批和管理。</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13、完成上级交办的其他任务。</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本单位是一级预算行政单位。局内设基教科、基建科、教师管理科、社会力量办学科、行政办公室、财务室等科室。同时，管辖下属4所中学、11所小学、1所职业教育培训中心、1所教育事业发展中心。</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2、编制情况：本单位核定编制数为1032名，其中行政编制4 名，事业编制1028名。2021年年末在职在编人员942人，区聘 33人，退伍安置0人，离休人员1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264150" cy="4640580"/>
            <wp:effectExtent l="0" t="0" r="12700" b="762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64150" cy="464058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74310" cy="2646680"/>
            <wp:effectExtent l="0" t="0" r="2540" b="127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74310" cy="264668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88280" cy="4169410"/>
            <wp:effectExtent l="0" t="0" r="7620" b="254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88280" cy="416941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19395" cy="3964940"/>
            <wp:effectExtent l="0" t="0" r="14605" b="1651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319395" cy="396494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27015" cy="5095875"/>
            <wp:effectExtent l="0" t="0" r="6985" b="952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5327015" cy="509587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23205" cy="3407410"/>
            <wp:effectExtent l="0" t="0" r="10795" b="254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9"/>
                    <a:stretch>
                      <a:fillRect/>
                    </a:stretch>
                  </pic:blipFill>
                  <pic:spPr>
                    <a:xfrm>
                      <a:off x="0" y="0"/>
                      <a:ext cx="5323205" cy="340741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35270" cy="1068070"/>
            <wp:effectExtent l="0" t="0" r="17780" b="1778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335270" cy="106807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36540" cy="1296670"/>
            <wp:effectExtent l="0" t="0" r="16510" b="1778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1"/>
                    <a:stretch>
                      <a:fillRect/>
                    </a:stretch>
                  </pic:blipFill>
                  <pic:spPr>
                    <a:xfrm>
                      <a:off x="0" y="0"/>
                      <a:ext cx="5336540" cy="1296670"/>
                    </a:xfrm>
                    <a:prstGeom prst="rect">
                      <a:avLst/>
                    </a:prstGeom>
                    <a:noFill/>
                    <a:ln w="9525">
                      <a:noFill/>
                    </a:ln>
                  </pic:spPr>
                </pic:pic>
              </a:graphicData>
            </a:graphic>
          </wp:inline>
        </w:drawing>
      </w:r>
      <w:bookmarkStart w:id="0" w:name="_GoBack"/>
      <w:bookmarkEnd w:id="0"/>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34000" cy="1795145"/>
            <wp:effectExtent l="0" t="0" r="0" b="14605"/>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2"/>
                    <a:stretch>
                      <a:fillRect/>
                    </a:stretch>
                  </pic:blipFill>
                  <pic:spPr>
                    <a:xfrm>
                      <a:off x="0" y="0"/>
                      <a:ext cx="5334000" cy="179514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21335.14万元，较2020年度决算总收入22647.25万元减少了1312.11万元，主要原因是财政拨款收入减少。2021年度决算总支出合计25292.68万元，较2020年度决算总支出22969.12万元增加了2323.56万元，主要是基本支出有所增加。</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21335.14万元，其中：财政拨款收入20168.77万元，占总收入的94.53%，其他收入1166.37万元，占总收入的5.47%。2021年决算收入较上年收入22647.25万元减少1312.11万元，降幅5.79%，主要原因在于年末财政将未使用完财政拨款全部收回。决算收入较年初预算收入14563.14万元增加6772万元，增幅46.50%，主要原因在于增加了比较性绩效的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25292.68万元，其中：基本支出25281.89万元，占总支出的99.96%，项目支出10.79万元，占总支出的0.04%。本年度总支出较上年度22969.12万元增加2323.56万元，增幅10.12%，主要原因在于本年度发放比较性绩效，人员经费支出增加。决算支出较年初预算支出14563.14万元增加了10729.54万元，增幅73.68%，主要原因在于增加了比较性绩效的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（1）工资及福利支出16357.61万元，主要用于职工基本工资、津贴、补贴、奖金、社会保障缴费支出；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（2）商品及服务支出3795.42万元，主要用于办公费用、印刷费、水电费、电话费、劳务费、工会福利费、交通费、委托业务费、维修费、专用材料费等支出；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（3）对个人和家庭的补助支出1393.83万元；主要用于退休费、抚恤金、生活补助等支出；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（4）资本性支出3735.03万元；主要用于办公设备购置。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20168.77万元，同比减少6.03%，原因在于本年度年末财政收回未使用完的财政拨款资金。2021年财政拨款支出总计24106.14万元，与年初预算数14563.14万元相比增加9543万元，原因是学校增加了比较性绩效支出。与2020年决算数21272.71万元相比增加2833.43万元，原因在于本年度发放比较性绩效，人员经费财政拨款支出增加。</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2021年一般公共预算财政拨款支出年初预算数为14563.14万元，支出年末决算数为24106.14万元，较2020年决算数增加2833.43万元，增幅13.32%。与2021年预算数相比增加9543万元，原因是本年度发放比较性绩效工资。</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按支出功能分类，行政运行支出决算为449.38万元，较上年增加81.87万元，增幅22.28%；一般行政管理事务支出17.05万元，较上年增加3.8万元，增幅28.68%；学前教育支出285.43万元，较上年增加122.21万元，增幅74.87%。小学教育支出13839.06元，较上年增加2769.68万元，增幅25.02%；初中教育支出7528.42万元，较上年增加1669.11万元，增幅28.49%；其他普通教育支出339.22万元，较上年减少219.84万元，降幅39.32%；初等职业教育支出432.88万元，较上年减少90.20万元，降幅17.24%；教育费附加安排的支出0.08万元，较上年减少456.07万元，降幅99.82%；保障性安居工程支出606.86万元，较上年减少1275.98万元，降幅67.77%；住房改革支出25.77万元，降上年减少29.48万元，降幅53.36%；突发公共卫生事件应急处理支出0万元，较上年减少210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2021年一般公共预算财政拨款基本支出24095.35万元，较上年增加2822.64万元，增幅13.27%。</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17289.21万元，较上年增加2200.85万元，增幅14.59%。人员经费主要包括：基本工资、津贴补贴、奖金、社会保险缴费、离退休费、住房公积金、职业年金、机关事业单位养老保险等支出。日常公用经费支出6806.14万元，较上年增加621.79万元，增幅10.05%。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2021年度“三公”经费支出决算数为0万元，与2020年支出决算数0万元持平。比年初预算数0.4万元减少0.4万元，原因系单位严格执行相关规定，节约费用开支，本年度实际未发生“三公”经费支出。其中: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下属单位职业教育培训中心的公务用车已不能使用，未发生费用。与2021年预算数相比持平，原因是所属单位公务用车已不能使用，未发生费用。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职业教育培训中心1台。与2020年决算数0万元相比持平，原因是单位未购置公务用车，同时职业教育培训中心公务用车已不能使用，未发生费用。与2021年预算数0万元相比持平，原因是职业教育培训中心的公务用车已不能使用，未做支出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（2）公务用车运行维护费0万元。与2020年支出决算数相比持平，与2021年预算数相比持平，原因是职业教育培训中心的公务用车已不能使用，未发生费用。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0.4万元相比减少0.4万元，原因是本单位实际未发生公务接待费支出，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机关运行经费155.93万元，与年初预算数8.82万元相比增加147.11万元，原因是增加了办公费及其他费用支出。较2020年决算数287.63万元相比减少131.70万元，原因是单位认真贯彻落实厉行节约精神，进一步从严控制运行经费支出。运行经费主要用于办公及印刷费、邮电费、差旅费、培训费、日常维修费、办公设备购置费、办公用房水电费、劳务费、委托业务费、工会经费、福利费以及其他费用的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我单位政府预算采购计划金额为112.81万元，计划用于购买货物82.81万元，工程25万元，服务5万元。2021年度我单位政府实际采购金额1651.67万元，其中一般公共预算1651.67万元，其他资金0万元；主要用于购买货物508.46万元，工程1113.58万元，服务29.63万元。政府采购支出总额比2020年度4019.51万元减少2367.84万元，降幅58.91%，主要原因是本年度学校内校园改扩建工程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2021年度我单位共占有车辆数1台，其中：一般公务用车1台，一般执法执勤车辆0台；单价50万元以上通用设备10台；单价100万元以上专用设备0台。其他固定资产（不包含房屋）13193.62万元。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（一）预算绩效管理工作开展情况。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根据预算绩效管理要求，区教育局组织对2021年度一般公共预算项目支出绩效开展自评，共涉及项目2个，资金10.79万元、占一般公共预算项目支出总额的100％。2021年，按照教育局工作职能、中长期事业发展规划，结合具体支出项目特点，拟定了具体项目绩效目标，绩效目标编报实现了范围、级次、内容三个“全覆盖”。具体包括：教育局财核中心及托管办经费、名师工作室工作经费两个专项。所有项目支出绩效目标均在规定时间内向区财政局进行了报送，绩效目标内容完整、指向明确、细化量化、合理可行，设置指标体现相关性、重要性、可比性、系统性和经济性要求。</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从整体支出绩效评价情况来看，区教育局编报的部门整体支出绩效目标实现了范围、级次、内容三个“全覆盖”，申报覆盖率达到100%。</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（二）部门决算中项目绩效自评结果。</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区教育局一般公共预算项目的实施有合法、合规和完整的项目管理制度和操作规范，日常检查督导工作较为全面。一般公共预算项目的资金使用按照预算执行，符合国家财经法规和财务管理制度以及有关专项资金管理办法的规定。项目全年预算数为10万元，执行数为10.79万元，完成预算的107.9%。</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主要产出和效果：一是产出的目标基本完成，项目质量可控，较高水平地完成了教育任务。项目实际实施工作基本上能在规定的阶段性期限内完成目标任务；二是各项目经费的实施产生良好的社会效益。三是项目符合国家政策，项目管理有效，产出高效。各项目在区教育局统一部署下，任务明确，分工有序，基本上按计划完成。项目实施过程中坚持问题导向，风险导向，效果显著。项目实施有相应的资金保障、人员保障和制度保障，能够形成可持续的影响。</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（三）绩效评级结果应用情况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加强绩效评价结果应用，我单位将绩效自评结果作为以后年度该项目预算编制和安排财政资金的重要参考依据；将绩效自评结果按照要求向社会公开，自觉接受社会监督。</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存在的主要问题及原因：我局承担的工作任务比较重，除了完成本级正常安排的工作任务外，还完成市教育局、区政府等上级部门临时追加安排的工作任务，在实施项目时人员分配往往捉襟见肘，人员力量明显不足。</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改进措施：一是进一步加大人员培训力度，着力培养一批专家型、复合型专业人才，不断提升业务技能；二是进一步完善项目的组织管理方式，创新方法，进一步提高工作效率。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7EF00C91"/>
    <w:rsid w:val="7EF0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2023-08-21T07:55:00Z</dcterms:created>
  <dc:creator>氕氘氚~</dc:creator>
  <cp:lastModifiedBy>氕氘氚~</cp:lastModifiedBy>
  <dcterms:modified xsi:type="dcterms:W3CDTF">2023-08-21T08:09:42Z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514B2DD65A324BB2B4B010C68423FDD9_11</vt:lpwstr>
  </property>
</Properties>
</file>