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宋体" w:cs="Arial"/>
          <w:i w:val="0"/>
          <w:iCs w:val="0"/>
          <w:caps w:val="0"/>
          <w:color w:val="222222"/>
          <w:spacing w:val="0"/>
          <w:sz w:val="24"/>
          <w:szCs w:val="24"/>
        </w:rPr>
      </w:pPr>
      <w:r>
        <w:rPr>
          <w:rStyle w:val="4"/>
          <w:rFonts w:ascii="Arial" w:hAnsi="Arial" w:eastAsia="宋体" w:cs="Arial"/>
          <w:i w:val="0"/>
          <w:iCs w:val="0"/>
          <w:caps w:val="0"/>
          <w:color w:val="222222"/>
          <w:spacing w:val="0"/>
          <w:sz w:val="33"/>
          <w:szCs w:val="33"/>
        </w:rPr>
        <w:t>                                  目          录</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第一部分:部门基本情况</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一、部门主要职责</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二、部门机构设置情况</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第二部分: 部门2021年部门决算表</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一、收入支出决算总表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二、收入决算表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三、支出决算表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四、财政拨款收入支出决算总表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五、一般公共预算财政拨款支出决算表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六、一般公共预算财政拨款基本支出决算表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七、一般公共预算财政拨款“三公”经费支出决算表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八、政府性基金预算财政拨款收入支出决算表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九、国有资本经营预算财政拨款支出决算表</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第三部分：部门2021年部门决算情况说明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一、收支总体情况说明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二、2021年度决算收入增减变化情况说明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三、2021年度决算支出增减变化情况说明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四、2021年财政拨款收入支出决算情况说明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五、2021年一般公共预算财政拨款支出决算情况说明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六、2021年一般公共预算财政拨款基本支出决算情况说明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七、一般公共预算财政拨款“三公”经费支出决算情况说明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八、机关运行经费执行情况说明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九、政府采购执行情况说明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十、国有资产占用情况说明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十一、其他情况</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十二、预算绩效工作开展情况</w:t>
      </w:r>
      <w:r>
        <w:rPr>
          <w:rFonts w:hint="default" w:ascii="Arial" w:hAnsi="Arial" w:eastAsia="宋体" w:cs="Arial"/>
          <w:i w:val="0"/>
          <w:iCs w:val="0"/>
          <w:caps w:val="0"/>
          <w:color w:val="222222"/>
          <w:spacing w:val="0"/>
          <w:sz w:val="18"/>
          <w:szCs w:val="18"/>
        </w:rPr>
        <w:br w:type="textWrapping"/>
      </w:r>
      <w:r>
        <w:rPr>
          <w:rStyle w:val="4"/>
          <w:rFonts w:hint="default" w:ascii="Arial" w:hAnsi="Arial" w:eastAsia="宋体" w:cs="Arial"/>
          <w:i w:val="0"/>
          <w:iCs w:val="0"/>
          <w:caps w:val="0"/>
          <w:color w:val="222222"/>
          <w:spacing w:val="0"/>
          <w:sz w:val="24"/>
          <w:szCs w:val="24"/>
        </w:rPr>
        <w:t>第四部分、名词解释</w:t>
      </w:r>
      <w:r>
        <w:rPr>
          <w:rFonts w:hint="default" w:ascii="Arial" w:hAnsi="Arial" w:eastAsia="宋体" w:cs="Arial"/>
          <w:i w:val="0"/>
          <w:iCs w:val="0"/>
          <w:caps w:val="0"/>
          <w:color w:val="222222"/>
          <w:spacing w:val="0"/>
          <w:sz w:val="24"/>
          <w:szCs w:val="24"/>
        </w:rPr>
        <w:br w:type="textWrapping"/>
      </w:r>
    </w:p>
    <w:p>
      <w:r>
        <w:rPr>
          <w:rStyle w:val="4"/>
          <w:rFonts w:hint="default" w:ascii="Arial" w:hAnsi="Arial" w:eastAsia="宋体" w:cs="Arial"/>
          <w:i w:val="0"/>
          <w:iCs w:val="0"/>
          <w:caps w:val="0"/>
          <w:color w:val="222222"/>
          <w:spacing w:val="0"/>
          <w:sz w:val="24"/>
          <w:szCs w:val="24"/>
        </w:rPr>
        <w:t>黄石市下陆区职业教育培训中心2021年度部门决算及“三公”经费决算情况说明</w:t>
      </w:r>
      <w:r>
        <w:rPr>
          <w:rStyle w:val="4"/>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33"/>
          <w:szCs w:val="33"/>
        </w:rPr>
        <w:t> </w:t>
      </w:r>
      <w:r>
        <w:rPr>
          <w:rStyle w:val="4"/>
          <w:rFonts w:hint="default" w:ascii="Arial" w:hAnsi="Arial" w:eastAsia="宋体" w:cs="Arial"/>
          <w:i w:val="0"/>
          <w:iCs w:val="0"/>
          <w:caps w:val="0"/>
          <w:color w:val="222222"/>
          <w:spacing w:val="0"/>
          <w:sz w:val="24"/>
          <w:szCs w:val="24"/>
        </w:rPr>
        <w:t>第一部分:部门基本情况</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一、</w:t>
      </w:r>
      <w:r>
        <w:rPr>
          <w:rFonts w:hint="default" w:ascii="Arial" w:hAnsi="Arial" w:eastAsia="宋体" w:cs="Arial"/>
          <w:i w:val="0"/>
          <w:iCs w:val="0"/>
          <w:caps w:val="0"/>
          <w:color w:val="222222"/>
          <w:spacing w:val="0"/>
          <w:sz w:val="24"/>
          <w:szCs w:val="24"/>
        </w:rPr>
        <w:t>部门主要职责</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1、执行上级财政政策，严格按照上级财政政策办事。</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2、承担单位各项财政收支管理的责任。负责编制年度预决算草案并组织公开。</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3、执行管理单位财务工作，依法制定财务管理制度和办法，防范财政风险。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4、负责监督和规范财务行为，执行国家会计法律、法规、会计准则和会计制度。</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二、部门机构设置情况</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1、机构设置情况：职业教育培训中心是归属下陆区教育局管理的二级预算单位，单位类型为公益二类事业单位。中心内设置党务办公室、行政办公室、总务处等处室。</w:t>
      </w:r>
      <w:r>
        <w:rPr>
          <w:rFonts w:hint="default" w:ascii="Arial" w:hAnsi="Arial" w:eastAsia="宋体" w:cs="Arial"/>
          <w:i w:val="0"/>
          <w:iCs w:val="0"/>
          <w:caps w:val="0"/>
          <w:color w:val="222222"/>
          <w:spacing w:val="0"/>
          <w:sz w:val="18"/>
          <w:szCs w:val="18"/>
        </w:rPr>
        <w:br w:type="textWrapping"/>
      </w:r>
      <w:r>
        <w:rPr>
          <w:rFonts w:hint="default" w:ascii="Arial" w:hAnsi="Arial" w:eastAsia="宋体" w:cs="Arial"/>
          <w:i w:val="0"/>
          <w:iCs w:val="0"/>
          <w:caps w:val="0"/>
          <w:color w:val="222222"/>
          <w:spacing w:val="0"/>
          <w:sz w:val="24"/>
          <w:szCs w:val="24"/>
        </w:rPr>
        <w:t>2、编制情况：本单位核定编制数为 5名，其中行政编制 0 名，事业编制 5名。2021年年末在职在编人员5 人，区聘 0人，退伍安置0人，退休人员0 人。</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第二部分: 部门2021年部门决算表</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drawing>
          <wp:inline distT="0" distB="0" distL="114300" distR="114300">
            <wp:extent cx="5190490" cy="4575810"/>
            <wp:effectExtent l="0" t="0" r="10160" b="1524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190490" cy="4575810"/>
                    </a:xfrm>
                    <a:prstGeom prst="rect">
                      <a:avLst/>
                    </a:prstGeom>
                    <a:noFill/>
                    <a:ln w="9525">
                      <a:noFill/>
                    </a:ln>
                  </pic:spPr>
                </pic:pic>
              </a:graphicData>
            </a:graphic>
          </wp:inline>
        </w:drawing>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211445" cy="1186815"/>
            <wp:effectExtent l="0" t="0" r="8255" b="13335"/>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5"/>
                    <a:stretch>
                      <a:fillRect/>
                    </a:stretch>
                  </pic:blipFill>
                  <pic:spPr>
                    <a:xfrm>
                      <a:off x="0" y="0"/>
                      <a:ext cx="5211445" cy="1186815"/>
                    </a:xfrm>
                    <a:prstGeom prst="rect">
                      <a:avLst/>
                    </a:prstGeom>
                    <a:noFill/>
                    <a:ln w="9525">
                      <a:noFill/>
                    </a:ln>
                  </pic:spPr>
                </pic:pic>
              </a:graphicData>
            </a:graphic>
          </wp:inline>
        </w:drawing>
      </w:r>
      <w:r>
        <w:rPr>
          <w:rStyle w:val="4"/>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208270" cy="1322070"/>
            <wp:effectExtent l="0" t="0" r="11430" b="1143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6"/>
                    <a:stretch>
                      <a:fillRect/>
                    </a:stretch>
                  </pic:blipFill>
                  <pic:spPr>
                    <a:xfrm>
                      <a:off x="0" y="0"/>
                      <a:ext cx="5208270" cy="1322070"/>
                    </a:xfrm>
                    <a:prstGeom prst="rect">
                      <a:avLst/>
                    </a:prstGeom>
                    <a:noFill/>
                    <a:ln w="9525">
                      <a:noFill/>
                    </a:ln>
                  </pic:spPr>
                </pic:pic>
              </a:graphicData>
            </a:graphic>
          </wp:inline>
        </w:drawing>
      </w:r>
      <w:r>
        <w:rPr>
          <w:rStyle w:val="4"/>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217160" cy="3888740"/>
            <wp:effectExtent l="0" t="0" r="2540" b="1651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7"/>
                    <a:stretch>
                      <a:fillRect/>
                    </a:stretch>
                  </pic:blipFill>
                  <pic:spPr>
                    <a:xfrm>
                      <a:off x="0" y="0"/>
                      <a:ext cx="5217160" cy="3888740"/>
                    </a:xfrm>
                    <a:prstGeom prst="rect">
                      <a:avLst/>
                    </a:prstGeom>
                    <a:noFill/>
                    <a:ln w="9525">
                      <a:noFill/>
                    </a:ln>
                  </pic:spPr>
                </pic:pic>
              </a:graphicData>
            </a:graphic>
          </wp:inline>
        </w:drawing>
      </w:r>
      <w:r>
        <w:rPr>
          <w:rStyle w:val="4"/>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239385" cy="1778000"/>
            <wp:effectExtent l="0" t="0" r="18415" b="1270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5239385" cy="1778000"/>
                    </a:xfrm>
                    <a:prstGeom prst="rect">
                      <a:avLst/>
                    </a:prstGeom>
                    <a:noFill/>
                    <a:ln w="9525">
                      <a:noFill/>
                    </a:ln>
                  </pic:spPr>
                </pic:pic>
              </a:graphicData>
            </a:graphic>
          </wp:inline>
        </w:drawing>
      </w:r>
      <w:r>
        <w:rPr>
          <w:rStyle w:val="4"/>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264150" cy="3369945"/>
            <wp:effectExtent l="0" t="0" r="12700" b="1905"/>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9"/>
                    <a:stretch>
                      <a:fillRect/>
                    </a:stretch>
                  </pic:blipFill>
                  <pic:spPr>
                    <a:xfrm>
                      <a:off x="0" y="0"/>
                      <a:ext cx="5264150" cy="3369945"/>
                    </a:xfrm>
                    <a:prstGeom prst="rect">
                      <a:avLst/>
                    </a:prstGeom>
                    <a:noFill/>
                    <a:ln w="9525">
                      <a:noFill/>
                    </a:ln>
                  </pic:spPr>
                </pic:pic>
              </a:graphicData>
            </a:graphic>
          </wp:inline>
        </w:drawing>
      </w:r>
      <w:r>
        <w:rPr>
          <w:rStyle w:val="4"/>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276850" cy="1136015"/>
            <wp:effectExtent l="0" t="0" r="0" b="6985"/>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10"/>
                    <a:stretch>
                      <a:fillRect/>
                    </a:stretch>
                  </pic:blipFill>
                  <pic:spPr>
                    <a:xfrm>
                      <a:off x="0" y="0"/>
                      <a:ext cx="5276850" cy="1136015"/>
                    </a:xfrm>
                    <a:prstGeom prst="rect">
                      <a:avLst/>
                    </a:prstGeom>
                    <a:noFill/>
                    <a:ln w="9525">
                      <a:noFill/>
                    </a:ln>
                  </pic:spPr>
                </pic:pic>
              </a:graphicData>
            </a:graphic>
          </wp:inline>
        </w:drawing>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287010" cy="1375410"/>
            <wp:effectExtent l="0" t="0" r="8890" b="15240"/>
            <wp:docPr id="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IMG_263"/>
                    <pic:cNvPicPr>
                      <a:picLocks noChangeAspect="1"/>
                    </pic:cNvPicPr>
                  </pic:nvPicPr>
                  <pic:blipFill>
                    <a:blip r:embed="rId11"/>
                    <a:stretch>
                      <a:fillRect/>
                    </a:stretch>
                  </pic:blipFill>
                  <pic:spPr>
                    <a:xfrm>
                      <a:off x="0" y="0"/>
                      <a:ext cx="5287010" cy="1375410"/>
                    </a:xfrm>
                    <a:prstGeom prst="rect">
                      <a:avLst/>
                    </a:prstGeom>
                    <a:noFill/>
                    <a:ln w="9525">
                      <a:noFill/>
                    </a:ln>
                  </pic:spPr>
                </pic:pic>
              </a:graphicData>
            </a:graphic>
          </wp:inline>
        </w:drawing>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drawing>
          <wp:inline distT="0" distB="0" distL="114300" distR="114300">
            <wp:extent cx="5304790" cy="1835150"/>
            <wp:effectExtent l="0" t="0" r="10160" b="12700"/>
            <wp:docPr id="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4"/>
                    <pic:cNvPicPr>
                      <a:picLocks noChangeAspect="1"/>
                    </pic:cNvPicPr>
                  </pic:nvPicPr>
                  <pic:blipFill>
                    <a:blip r:embed="rId12"/>
                    <a:stretch>
                      <a:fillRect/>
                    </a:stretch>
                  </pic:blipFill>
                  <pic:spPr>
                    <a:xfrm>
                      <a:off x="0" y="0"/>
                      <a:ext cx="5304790" cy="1835150"/>
                    </a:xfrm>
                    <a:prstGeom prst="rect">
                      <a:avLst/>
                    </a:prstGeom>
                    <a:noFill/>
                    <a:ln w="9525">
                      <a:noFill/>
                    </a:ln>
                  </pic:spPr>
                </pic:pic>
              </a:graphicData>
            </a:graphic>
          </wp:inline>
        </w:drawing>
      </w:r>
      <w:bookmarkStart w:id="0" w:name="_GoBack"/>
      <w:bookmarkEnd w:id="0"/>
      <w:r>
        <w:rPr>
          <w:rFonts w:hint="default" w:ascii="Arial" w:hAnsi="Arial" w:eastAsia="宋体" w:cs="Arial"/>
          <w:i w:val="0"/>
          <w:iCs w:val="0"/>
          <w:caps w:val="0"/>
          <w:color w:val="222222"/>
          <w:spacing w:val="0"/>
          <w:sz w:val="18"/>
          <w:szCs w:val="18"/>
        </w:rPr>
        <w:br w:type="textWrapping"/>
      </w:r>
      <w:r>
        <w:rPr>
          <w:rFonts w:hint="default" w:ascii="Arial" w:hAnsi="Arial" w:eastAsia="宋体" w:cs="Arial"/>
          <w:i w:val="0"/>
          <w:iCs w:val="0"/>
          <w:caps w:val="0"/>
          <w:color w:val="222222"/>
          <w:spacing w:val="0"/>
          <w:sz w:val="18"/>
          <w:szCs w:val="18"/>
        </w:rPr>
        <w:br w:type="textWrapping"/>
      </w:r>
      <w:r>
        <w:rPr>
          <w:rStyle w:val="4"/>
          <w:rFonts w:hint="default" w:ascii="Arial" w:hAnsi="Arial" w:eastAsia="宋体" w:cs="Arial"/>
          <w:i w:val="0"/>
          <w:iCs w:val="0"/>
          <w:caps w:val="0"/>
          <w:color w:val="222222"/>
          <w:spacing w:val="0"/>
          <w:sz w:val="24"/>
          <w:szCs w:val="24"/>
        </w:rPr>
        <w:t>第三部分：部门2021年部门决算情况说明</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一、收支总体情况说明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度决算总收入合计419.57万元，较2020年度决算总收入542.54万元减少了122.97万元，主要原因是财政拨款收入减少。2021年度决算总支出合计432.88万元，较2020年度决算总支出523.24万元减少了90.36万元，主要是基本支出有所减少。</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二、2021年度决算收入增减变化情况说明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度决算收入合计419.57万元，其中：财政拨款收入417.45万元，占总收入的99.49%，其他收入2.12万元，占总收入的0.51%。2021年决算收入较上年收入542.54万元减少122.97万元，降幅22.67%，主要原因在于年末财政将未使用完财政拨款全部收回。决算收入较年初预算收入525.83万元减少106.26万元，降幅20.21%，主要原因在于人员减少9人，人员工资福利拨款收入减少。</w:t>
      </w:r>
      <w:r>
        <w:rPr>
          <w:rFonts w:hint="default" w:ascii="Arial" w:hAnsi="Arial" w:eastAsia="宋体" w:cs="Arial"/>
          <w:i w:val="0"/>
          <w:iCs w:val="0"/>
          <w:caps w:val="0"/>
          <w:color w:val="222222"/>
          <w:spacing w:val="0"/>
          <w:sz w:val="18"/>
          <w:szCs w:val="18"/>
        </w:rPr>
        <w:br w:type="textWrapping"/>
      </w:r>
      <w:r>
        <w:rPr>
          <w:rStyle w:val="4"/>
          <w:rFonts w:hint="default" w:ascii="Arial" w:hAnsi="Arial" w:eastAsia="宋体" w:cs="Arial"/>
          <w:i w:val="0"/>
          <w:iCs w:val="0"/>
          <w:caps w:val="0"/>
          <w:color w:val="222222"/>
          <w:spacing w:val="0"/>
          <w:sz w:val="24"/>
          <w:szCs w:val="24"/>
        </w:rPr>
        <w:t>三、2021年度决算支出增减变化情况说明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度支出432.88万元，其中：基本支出432.88万元，占总支出的100%，项目支出0万元。本年度总支出较上年度523.24万元减少90.36万元，降幅17.27%，主要原因在于本年度人员减少9人，人员工资福利支出减少。决算支出较年初预算支出525.83万元减少92.95万元，降幅17.68%，主要原因在于人员减少9人，人员工资福利支出减少。</w:t>
      </w:r>
      <w:r>
        <w:rPr>
          <w:rFonts w:hint="default" w:ascii="Arial" w:hAnsi="Arial" w:eastAsia="宋体" w:cs="Arial"/>
          <w:i w:val="0"/>
          <w:iCs w:val="0"/>
          <w:caps w:val="0"/>
          <w:color w:val="222222"/>
          <w:spacing w:val="0"/>
          <w:sz w:val="18"/>
          <w:szCs w:val="18"/>
        </w:rPr>
        <w:br w:type="textWrapping"/>
      </w:r>
      <w:r>
        <w:rPr>
          <w:rFonts w:hint="default" w:ascii="Arial" w:hAnsi="Arial" w:eastAsia="宋体" w:cs="Arial"/>
          <w:i w:val="0"/>
          <w:iCs w:val="0"/>
          <w:caps w:val="0"/>
          <w:color w:val="222222"/>
          <w:spacing w:val="0"/>
          <w:sz w:val="24"/>
          <w:szCs w:val="24"/>
        </w:rPr>
        <w:t>基本支出主要用于：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（1）工资及福利支出167.96万元，主要用于职工基本工资、津贴、补贴、奖金、社会保障缴费支出；</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（2）商品及服务支出28.68万元，主要用于办公费用、印刷费、水电费、电话费、劳务费、工会福利费、交通费、委托业务费、维修费、专用材料费等支出；</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（3）对个人和家庭的补助支出236.24万元；主要用于退休费、抚恤金、生活补助等支出；</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（4）资本性支出0万元；主要用于办公设备购置。</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四、2021年财政拨款收入支出决算情况说明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财政拨款收入总计417.45万元，同比减少23.00%，主要原因在于年末财政将未使用完财政拨款全部收回。2021年财政拨款支出总计432.88万元，与年初预算数525.83万元相比减少92.95万元，原因是本年度人员减少9人，人员工资福利支出减少。与2020年决算数523.08万元相比减少90.20万元，主要原因在于本年度人员减少9人，人员工资福利支出减少，财政拨款支出减少。</w:t>
      </w:r>
      <w:r>
        <w:rPr>
          <w:rFonts w:hint="default" w:ascii="Arial" w:hAnsi="Arial" w:eastAsia="宋体" w:cs="Arial"/>
          <w:i w:val="0"/>
          <w:iCs w:val="0"/>
          <w:caps w:val="0"/>
          <w:color w:val="222222"/>
          <w:spacing w:val="0"/>
          <w:sz w:val="18"/>
          <w:szCs w:val="18"/>
        </w:rPr>
        <w:br w:type="textWrapping"/>
      </w:r>
      <w:r>
        <w:rPr>
          <w:rStyle w:val="4"/>
          <w:rFonts w:hint="default" w:ascii="Arial" w:hAnsi="Arial" w:eastAsia="宋体" w:cs="Arial"/>
          <w:i w:val="0"/>
          <w:iCs w:val="0"/>
          <w:caps w:val="0"/>
          <w:color w:val="222222"/>
          <w:spacing w:val="0"/>
          <w:sz w:val="24"/>
          <w:szCs w:val="24"/>
        </w:rPr>
        <w:t>五</w:t>
      </w:r>
      <w:r>
        <w:rPr>
          <w:rFonts w:hint="default" w:ascii="Arial" w:hAnsi="Arial" w:eastAsia="宋体" w:cs="Arial"/>
          <w:i w:val="0"/>
          <w:iCs w:val="0"/>
          <w:caps w:val="0"/>
          <w:color w:val="222222"/>
          <w:spacing w:val="0"/>
          <w:sz w:val="24"/>
          <w:szCs w:val="24"/>
        </w:rPr>
        <w:t>、</w:t>
      </w:r>
      <w:r>
        <w:rPr>
          <w:rStyle w:val="4"/>
          <w:rFonts w:hint="default" w:ascii="Arial" w:hAnsi="Arial" w:eastAsia="宋体" w:cs="Arial"/>
          <w:i w:val="0"/>
          <w:iCs w:val="0"/>
          <w:caps w:val="0"/>
          <w:color w:val="222222"/>
          <w:spacing w:val="0"/>
          <w:sz w:val="24"/>
          <w:szCs w:val="24"/>
        </w:rPr>
        <w:t>2021年一般公共预算财政拨款支出决算情况说明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一般公共预算财政拨款支出年初预算数为525.83万元，支出年末决算数为432.88万元，较2020年决算数减少90.20万元，降幅17.24%。与2021年预算数相比减少92.95万元，原因是本年度人员减少9人，人员工资福利支出减少。</w:t>
      </w:r>
      <w:r>
        <w:rPr>
          <w:rFonts w:hint="default" w:ascii="Arial" w:hAnsi="Arial" w:eastAsia="宋体" w:cs="Arial"/>
          <w:i w:val="0"/>
          <w:iCs w:val="0"/>
          <w:caps w:val="0"/>
          <w:color w:val="222222"/>
          <w:spacing w:val="0"/>
          <w:sz w:val="18"/>
          <w:szCs w:val="18"/>
        </w:rPr>
        <w:br w:type="textWrapping"/>
      </w:r>
      <w:r>
        <w:rPr>
          <w:rFonts w:hint="default" w:ascii="Arial" w:hAnsi="Arial" w:eastAsia="宋体" w:cs="Arial"/>
          <w:i w:val="0"/>
          <w:iCs w:val="0"/>
          <w:caps w:val="0"/>
          <w:color w:val="222222"/>
          <w:spacing w:val="0"/>
          <w:sz w:val="24"/>
          <w:szCs w:val="24"/>
        </w:rPr>
        <w:t>按支出功能分类，初等职业教育支出决算为432.88万元，较上年减少90.20万元，降幅17.24%。</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六、2021年一般公共预算财政拨款基本支出决算情况说明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2021年一般公共预算财政拨款基本支出432.88万元，较上年减少90.20万元，降幅17.24%。</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其中，人员经费支出404.21万元，较上年减少91.91万元，降幅18.53%。人员经费主要包括：基本工资、津贴补贴、奖金、社会保险缴费、离退休费、住房公积金、职业年金、机关事业单位养老保险等支出。日常公用经费支出28.67万元，较上年增加1.71万元，增幅6.34%。日常公用经费主要包括：办公费、印刷费、水费、电费、邮电费、物业管理费、差旅费、维修（护）费、租赁费、会议费、培训费、劳务费、工会经费、福利费、其他交通费、其他商品和服务支出、办公设备购置等。</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七、一般公共预算财政拨款“三公”经费支出决算情况说明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2021年度“三公”经费支出决算数为0万元，与2020年支出决算数0万元持平。与2021年预算0万元持平，原因系单位严格执行相关规定，节约费用开支。其中:</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1、因公出国（境）费用支出决算为0万元，团组数为0组，人数为0人。与2020年决算数0万元相比持平，原因是我单位无因公出国（境）费用发生。与2021年预算数0万元相比持平，原因是我单位无因公出国（境）费用发生。</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2、2021年公务用车购置及运行维护费支出决算数为0万元，与2020年支出决算数相比持平，原因是本单位公务用车已不能使用，未发生费用。与2021年预算数相比持平，原因是本单位公务用车已不能使用，未发生费用。其中：</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（1）我单位公务用车购置费为0万元，车型为：无 ，本年度公务用车购置数0辆，公务用车保有量为1台。与2020年决算数0万元相比持平，原因是单位未购置公务用车，同时已有公务用车已不能使用，未发生费用。与2021年预算数0万元相比持平，原因是本单位公务用车已不能使用，未做支出预算。</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（2）公务用车运行维护费0万元。与2020年支出决算数相比持平，与2021年预算数相比持平，原因是本单位公务用车已不能使用，未发生费用。</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3、公务接待支出决算数为0万元，共接待0批次、0人。与2021年预算数0万元持平，原因是本单位无公务接待预算，与2020年支出决算数0万元相比持平，主要原因：单位认真贯彻落实厉行节约精神，进一步从严控制公务接待经费支出</w:t>
      </w:r>
      <w:r>
        <w:rPr>
          <w:rFonts w:hint="default" w:ascii="Arial" w:hAnsi="Arial" w:eastAsia="宋体" w:cs="Arial"/>
          <w:i w:val="0"/>
          <w:iCs w:val="0"/>
          <w:caps w:val="0"/>
          <w:color w:val="222222"/>
          <w:spacing w:val="0"/>
          <w:sz w:val="18"/>
          <w:szCs w:val="18"/>
        </w:rPr>
        <w:br w:type="textWrapping"/>
      </w:r>
      <w:r>
        <w:rPr>
          <w:rStyle w:val="4"/>
          <w:rFonts w:hint="default" w:ascii="Arial" w:hAnsi="Arial" w:eastAsia="宋体" w:cs="Arial"/>
          <w:i w:val="0"/>
          <w:iCs w:val="0"/>
          <w:caps w:val="0"/>
          <w:color w:val="222222"/>
          <w:spacing w:val="0"/>
          <w:sz w:val="24"/>
          <w:szCs w:val="24"/>
        </w:rPr>
        <w:t>八、机关运行经费执行情况说明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2021年度机关运行经费0万元，与2021年预算数持平，原因是本单位是事业单位，没有机关运行经费。与2020年决算数0万元持平。原因是本单位是事业单位，没有机关运行经费。</w:t>
      </w:r>
      <w:r>
        <w:rPr>
          <w:rFonts w:hint="default" w:ascii="Arial" w:hAnsi="Arial" w:eastAsia="宋体" w:cs="Arial"/>
          <w:i w:val="0"/>
          <w:iCs w:val="0"/>
          <w:caps w:val="0"/>
          <w:color w:val="222222"/>
          <w:spacing w:val="0"/>
          <w:sz w:val="18"/>
          <w:szCs w:val="18"/>
        </w:rPr>
        <w:br w:type="textWrapping"/>
      </w:r>
      <w:r>
        <w:rPr>
          <w:rStyle w:val="4"/>
          <w:rFonts w:hint="default" w:ascii="Arial" w:hAnsi="Arial" w:eastAsia="宋体" w:cs="Arial"/>
          <w:i w:val="0"/>
          <w:iCs w:val="0"/>
          <w:caps w:val="0"/>
          <w:color w:val="222222"/>
          <w:spacing w:val="0"/>
          <w:sz w:val="24"/>
          <w:szCs w:val="24"/>
        </w:rPr>
        <w:t>九、政府采购执行情况说明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2021年度我单位政府采购预算数为0万元，实际采购金额0万元，其中一般公共预算0万元，其他资金0万元；主要用于购买货物0万元，工程0万元，服务0万元。政府采购总额与2020年度0万元相比，无变化。</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十、国有资产占用情况说明</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2021年度我单位共占有车辆数1台，其中：一般公务用车1台，一般执法执勤车辆0台；单价50万元以上通用设备0台；单价100万元以上专用设备0台。其他固定资产（不包含房屋）52.85万元。</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十一、其他情况</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本单位2021年无举借政府债务、无扶贫专项资金、无政府性基金预算收支、无财政专项支出、无专项转移支付。</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十二、预算绩效工作开展情况</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本单位无项目支出，全年预算均为基本支出，未设置预算绩效目标。</w:t>
      </w:r>
      <w:r>
        <w:rPr>
          <w:rFonts w:hint="default" w:ascii="Arial" w:hAnsi="Arial" w:eastAsia="宋体" w:cs="Arial"/>
          <w:i w:val="0"/>
          <w:iCs w:val="0"/>
          <w:caps w:val="0"/>
          <w:color w:val="222222"/>
          <w:spacing w:val="0"/>
          <w:sz w:val="24"/>
          <w:szCs w:val="24"/>
        </w:rPr>
        <w:br w:type="textWrapping"/>
      </w:r>
      <w:r>
        <w:rPr>
          <w:rStyle w:val="4"/>
          <w:rFonts w:hint="default" w:ascii="Arial" w:hAnsi="Arial" w:eastAsia="宋体" w:cs="Arial"/>
          <w:i w:val="0"/>
          <w:iCs w:val="0"/>
          <w:caps w:val="0"/>
          <w:color w:val="222222"/>
          <w:spacing w:val="0"/>
          <w:sz w:val="24"/>
          <w:szCs w:val="24"/>
        </w:rPr>
        <w:t>第四部分、名词解释</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一、财政拨款收入：指财政部门当年拨付的资金。</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二、事业收入：指事业单位开展专业业务活动及辅助活动所取得的收入。</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三、经营收入：指事业单位在专业业务活动及其辅助活动之外开展非独立核算经营活动取得的收入。</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四、其他收入：指除上述“财政拨款收入”、“事业收入”、“经营收入”等以外的收入。</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六、年初结转和结余：指以前年度尚未完成、结转到本年 按有关规定继续使用的资金。</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七、结余分配：指事业单位按规定提取的职工福利基金、事业基金和缴纳的所得税，以及建设单位按规定应交回的基本建设竣工项目结余资金。</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八、年末结转和结余：指本年度或以前年度预算安排、因客观条件发生变化无法按原计划实施，需要延迟到以后年度按有关规定继续使用的资金。</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九、基本支出：指为保障机构正常运转、完成日常工作任务而发生的人员支出和公用支出。</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十、项目支出：指在基本支出之外为完成特定行政任务和事业发展目标所发生的支出。</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十一、经营支出：指事业单位在专业业务活动及其辅助活动之外开展非独立核算经营活动发生的支出。</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十二、“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r>
        <w:rPr>
          <w:rFonts w:hint="default" w:ascii="Arial" w:hAnsi="Arial" w:eastAsia="宋体" w:cs="Arial"/>
          <w:i w:val="0"/>
          <w:iCs w:val="0"/>
          <w:caps w:val="0"/>
          <w:color w:val="222222"/>
          <w:spacing w:val="0"/>
          <w:sz w:val="24"/>
          <w:szCs w:val="24"/>
        </w:rPr>
        <w:br w:type="textWrapping"/>
      </w:r>
      <w:r>
        <w:rPr>
          <w:rFonts w:hint="default" w:ascii="Arial" w:hAnsi="Arial" w:eastAsia="宋体" w:cs="Arial"/>
          <w:i w:val="0"/>
          <w:iCs w:val="0"/>
          <w:caps w:val="0"/>
          <w:color w:val="222222"/>
          <w:spacing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Y2FhMTRiZWUwM2YzMjcxNmU5ZTVkZGU5ODEzMDIifQ=="/>
  </w:docVars>
  <w:rsids>
    <w:rsidRoot w:val="776956A2"/>
    <w:rsid w:val="7769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2023-08-21T02:28:00Z</dcterms:created>
  <dc:creator>氕氘氚~</dc:creator>
  <cp:lastModifiedBy>氕氘氚~</cp:lastModifiedBy>
  <dcterms:modified xsi:type="dcterms:W3CDTF">2023-08-21T02:40:01Z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AC4138BC13CE4DF3A38725A30279F32D_11</vt:lpwstr>
  </property>
</Properties>
</file>