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7CCB0">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下陆区住房保障局202</w:t>
      </w:r>
      <w:r>
        <w:rPr>
          <w:rFonts w:hint="eastAsia" w:ascii="Arial" w:hAnsi="Arial" w:eastAsia="宋体" w:cs="Arial"/>
          <w:b/>
          <w:bCs/>
          <w:kern w:val="36"/>
          <w:sz w:val="36"/>
          <w:szCs w:val="36"/>
          <w:lang w:val="en-US" w:eastAsia="zh-CN"/>
        </w:rPr>
        <w:t>2</w:t>
      </w:r>
      <w:r>
        <w:rPr>
          <w:rFonts w:ascii="Arial" w:hAnsi="Arial" w:eastAsia="宋体" w:cs="Arial"/>
          <w:b/>
          <w:bCs/>
          <w:kern w:val="36"/>
          <w:sz w:val="36"/>
          <w:szCs w:val="36"/>
        </w:rPr>
        <w:t>年决算公开</w:t>
      </w:r>
    </w:p>
    <w:p w14:paraId="2F32F986">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55447FE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0" w:firstLineChars="200"/>
        <w:jc w:val="both"/>
        <w:textAlignment w:val="auto"/>
        <w:outlineLvl w:val="9"/>
        <w:rPr>
          <w:rFonts w:hint="default" w:ascii="宋体" w:hAnsi="宋体" w:eastAsia="宋体" w:cs="宋体"/>
          <w:bCs/>
          <w:sz w:val="28"/>
          <w:szCs w:val="28"/>
          <w:highlight w:val="none"/>
          <w:rtl w:val="0"/>
          <w:lang w:val="en-US" w:eastAsia="zh-CN"/>
        </w:rPr>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下陆区住房保障局</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一、部门主要职责</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下陆区住房保障局</w:t>
      </w:r>
      <w:r>
        <w:rPr>
          <w:rFonts w:ascii="Arial" w:hAnsi="Arial" w:eastAsia="宋体" w:cs="Arial"/>
          <w:b/>
          <w:bCs/>
          <w:color w:val="000000"/>
          <w:kern w:val="0"/>
          <w:sz w:val="27"/>
        </w:rPr>
        <w:t>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bCs/>
          <w:sz w:val="28"/>
          <w:szCs w:val="28"/>
          <w:highlight w:val="none"/>
          <w:rtl w:val="0"/>
          <w:lang w:val="en-US" w:eastAsia="zh-CN"/>
        </w:rPr>
        <w:t>一、收入支出决算总表</w:t>
      </w:r>
    </w:p>
    <w:p w14:paraId="225F00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6B34B42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5D4AA1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1922B3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1B1C70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5D7A8DE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3C8DA8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0303EEC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1659352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both"/>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下陆区住房保障局</w:t>
      </w:r>
      <w:r>
        <w:rPr>
          <w:rFonts w:ascii="Arial" w:hAnsi="Arial" w:eastAsia="宋体" w:cs="Arial"/>
          <w:b/>
          <w:bCs/>
          <w:color w:val="000000"/>
          <w:kern w:val="0"/>
          <w:sz w:val="27"/>
        </w:rPr>
        <w:t>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color w:val="000000"/>
          <w:kern w:val="0"/>
          <w:sz w:val="27"/>
          <w:szCs w:val="27"/>
        </w:rPr>
        <w:br w:type="textWrapping"/>
      </w:r>
      <w:r>
        <w:rPr>
          <w:rFonts w:hint="eastAsia" w:ascii="宋体" w:hAnsi="宋体" w:eastAsia="宋体" w:cs="宋体"/>
          <w:bCs/>
          <w:sz w:val="28"/>
          <w:szCs w:val="28"/>
          <w:highlight w:val="none"/>
          <w:rtl w:val="0"/>
          <w:lang w:val="en-US" w:eastAsia="zh-CN"/>
        </w:rPr>
        <w:t>一、收入支出决算总体情况说明</w:t>
      </w:r>
    </w:p>
    <w:p w14:paraId="7BC523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6D2EE8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31E263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6DDE36A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4D05BE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2AD5661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七、政府性基金预算财政拨款收入支出决算情况说明 </w:t>
      </w:r>
    </w:p>
    <w:p w14:paraId="655D91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八、国有资本经营预算财政拨款支出决算情况说明 </w:t>
      </w:r>
    </w:p>
    <w:p w14:paraId="4EDB80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39DA3B2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325408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252BF1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79012E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23E7F7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0A47EC00">
      <w:pPr>
        <w:widowControl/>
        <w:shd w:val="clear" w:color="auto" w:fill="FFFFFF"/>
        <w:spacing w:line="424" w:lineRule="atLeast"/>
        <w:jc w:val="left"/>
        <w:rPr>
          <w:rFonts w:ascii="Arial" w:hAnsi="Arial" w:eastAsia="宋体" w:cs="Arial"/>
          <w:color w:val="000000"/>
          <w:kern w:val="0"/>
          <w:szCs w:val="21"/>
        </w:rPr>
      </w:pPr>
      <w:r>
        <w:rPr>
          <w:rFonts w:ascii="Arial" w:hAnsi="Arial" w:eastAsia="宋体" w:cs="Arial"/>
          <w:b/>
          <w:bCs/>
          <w:color w:val="000000"/>
          <w:kern w:val="0"/>
          <w:sz w:val="27"/>
        </w:rPr>
        <w:t>第四部分、名词解释</w:t>
      </w:r>
    </w:p>
    <w:p w14:paraId="16B483A9">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（一）贯彻执行国家、省、市颁布的有关住房保障、住房制度改革、房产市场监管以及房屋管理的法律、法规、规章和方针、政策。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（二）根据本区国民经济和社会发展总体规划，研究制定住房保障和住房发展规划并组织实施。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（三）负责编制本区住房保障的计划管理，组织编制住房保障的长期规划以及年度计划，经区政府批准后组织实施。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贯彻执行本区国有土地房屋征收的规章制度，对各街办、社区国有土地上的房屋征收与补偿工作进行业务指导和监督管理；实施公益性项目国有土地上的房屋征收补偿工作，组织协调房屋征收违规行为的查处工作；推进房屋征收信息化工作和信息公开。</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（五）负责本区公租房和住房货币化补贴审核申报工作，会同有关部门指导监督保障性住房资金铁使用和管理。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本区房地产工程建设中涉及保障性住房配套建设的落实，协助办理保障性工程建设的相关手续，实施住房保障工程质量。负责建立和完善住房保障体系，推进公共租赁住房建设；监督保障性住房建设、安置、分配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（七）指导督促相关单位对危旧房、城中村、棚户区改造项目的民意调查、房屋状况调查与登记、地籍核实等工作，并组织项目成本测算评估工作。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（八）负责房屋征收政策的宣传和解释；指导征收单位开展征收地块房屋登记、核实认定等工作；组织征收补偿方案听证和社会风险评估；处理房屋征收所涉信访和行政复议、行政诉讼。</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负责组织棚改项目和城市建设涉及房屋拆迁安置工作档案的收集与管理，组织审核相关单位与征收对象签订的房屋征收补偿协议；根据区政府决定，负责指导和监督相关部门依法划定征收范围，并督促依法拆除征收范围内的建（构）筑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（十）负责协调旧城改造（棚户区）房屋拆迁补偿资金申报、监督使用和管理工作。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（十一）负责开展物业管理工作；协调、指导小区业主委员会与物业企业依法依规签订、履行物业服务协议；协调房屋维修基金的申请和指导小区物业依法依规对居民小区电梯的安全管理和维护。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（十二）负责开展房屋安全管理工作，依法建立房屋安全监督管理网络。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1、机构设置情况:下陆区住房保障局归口管理本级部门及下属住房保障中心。本单位内设置办公室、综合科、财务室等内设科室。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2、编制情况：下陆区住房保障局核定编制数为4名，其中行政编4名，事业编制0名；住房保障中心设事业编制人员5名。202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年年末在职在编人员7人，区聘0人，退伍安置0人，政府雇员2人，</w:t>
      </w:r>
      <w:r>
        <w:rPr>
          <w:rFonts w:hint="eastAsia" w:ascii="Arial" w:hAnsi="Arial" w:eastAsia="宋体" w:cs="Arial"/>
          <w:color w:val="000000"/>
          <w:kern w:val="0"/>
          <w:sz w:val="27"/>
          <w:szCs w:val="27"/>
        </w:rPr>
        <w:t>专业技术人员</w:t>
      </w:r>
      <w:r>
        <w:rPr>
          <w:rFonts w:hint="eastAsia" w:ascii="Arial" w:hAnsi="Arial" w:eastAsia="宋体" w:cs="Arial"/>
          <w:color w:val="000000"/>
          <w:kern w:val="0"/>
          <w:sz w:val="27"/>
          <w:szCs w:val="27"/>
          <w:lang w:val="en-US" w:eastAsia="zh-CN"/>
        </w:rPr>
        <w:t>3人</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05170" cy="5998210"/>
            <wp:effectExtent l="0" t="0" r="5080" b="254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805170" cy="5998210"/>
                    </a:xfrm>
                    <a:prstGeom prst="rect">
                      <a:avLst/>
                    </a:prstGeom>
                    <a:noFill/>
                    <a:ln w="9525">
                      <a:noFill/>
                    </a:ln>
                  </pic:spPr>
                </pic:pic>
              </a:graphicData>
            </a:graphic>
          </wp:inline>
        </w:drawing>
      </w:r>
    </w:p>
    <w:p w14:paraId="4D0AF1E0">
      <w:pPr>
        <w:keepNext w:val="0"/>
        <w:keepLines w:val="0"/>
        <w:widowControl/>
        <w:suppressLineNumbers w:val="0"/>
        <w:jc w:val="left"/>
      </w:pPr>
    </w:p>
    <w:p w14:paraId="20FDC11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3580" cy="1986280"/>
            <wp:effectExtent l="0" t="0" r="7620" b="1397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783580" cy="1986280"/>
                    </a:xfrm>
                    <a:prstGeom prst="rect">
                      <a:avLst/>
                    </a:prstGeom>
                    <a:noFill/>
                    <a:ln w="9525">
                      <a:noFill/>
                    </a:ln>
                  </pic:spPr>
                </pic:pic>
              </a:graphicData>
            </a:graphic>
          </wp:inline>
        </w:drawing>
      </w:r>
    </w:p>
    <w:p w14:paraId="6BBCFAF6">
      <w:pPr>
        <w:widowControl/>
        <w:shd w:val="clear" w:color="auto" w:fill="FFFFFF"/>
        <w:spacing w:line="424" w:lineRule="atLeast"/>
        <w:ind w:left="270" w:hanging="270" w:hangingChars="100"/>
        <w:jc w:val="left"/>
        <w:rPr>
          <w:rFonts w:ascii="Arial" w:hAnsi="Arial" w:eastAsia="宋体" w:cs="Arial"/>
          <w:color w:val="000000"/>
          <w:kern w:val="0"/>
          <w:sz w:val="27"/>
          <w:szCs w:val="27"/>
        </w:rPr>
      </w:pPr>
    </w:p>
    <w:p w14:paraId="786DBAB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96915" cy="2138680"/>
            <wp:effectExtent l="0" t="0" r="13335" b="1397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796915" cy="2138680"/>
                    </a:xfrm>
                    <a:prstGeom prst="rect">
                      <a:avLst/>
                    </a:prstGeom>
                    <a:noFill/>
                    <a:ln w="9525">
                      <a:noFill/>
                    </a:ln>
                  </pic:spPr>
                </pic:pic>
              </a:graphicData>
            </a:graphic>
          </wp:inline>
        </w:drawing>
      </w:r>
    </w:p>
    <w:p w14:paraId="7EF85D80">
      <w:pPr>
        <w:keepNext w:val="0"/>
        <w:keepLines w:val="0"/>
        <w:widowControl/>
        <w:suppressLineNumbers w:val="0"/>
        <w:jc w:val="left"/>
      </w:pPr>
    </w:p>
    <w:p w14:paraId="7C9C65A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62650" cy="5461635"/>
            <wp:effectExtent l="0" t="0" r="0" b="5715"/>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962650" cy="5461635"/>
                    </a:xfrm>
                    <a:prstGeom prst="rect">
                      <a:avLst/>
                    </a:prstGeom>
                    <a:noFill/>
                    <a:ln w="9525">
                      <a:noFill/>
                    </a:ln>
                  </pic:spPr>
                </pic:pic>
              </a:graphicData>
            </a:graphic>
          </wp:inline>
        </w:drawing>
      </w:r>
    </w:p>
    <w:p w14:paraId="1813A93A">
      <w:pPr>
        <w:widowControl/>
        <w:shd w:val="clear" w:color="auto" w:fill="FFFFFF"/>
        <w:spacing w:line="424" w:lineRule="atLeast"/>
        <w:ind w:left="270" w:hanging="270" w:hangingChars="100"/>
        <w:jc w:val="left"/>
        <w:rPr>
          <w:rFonts w:ascii="Arial" w:hAnsi="Arial" w:eastAsia="宋体" w:cs="Arial"/>
          <w:color w:val="000000"/>
          <w:kern w:val="0"/>
          <w:sz w:val="27"/>
          <w:szCs w:val="27"/>
        </w:rPr>
      </w:pPr>
    </w:p>
    <w:p w14:paraId="50BCAD4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46775" cy="1960245"/>
            <wp:effectExtent l="0" t="0" r="15875" b="1905"/>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946775" cy="1960245"/>
                    </a:xfrm>
                    <a:prstGeom prst="rect">
                      <a:avLst/>
                    </a:prstGeom>
                    <a:noFill/>
                    <a:ln w="9525">
                      <a:noFill/>
                    </a:ln>
                  </pic:spPr>
                </pic:pic>
              </a:graphicData>
            </a:graphic>
          </wp:inline>
        </w:drawing>
      </w:r>
    </w:p>
    <w:p w14:paraId="5232306E">
      <w:pPr>
        <w:keepNext w:val="0"/>
        <w:keepLines w:val="0"/>
        <w:widowControl/>
        <w:suppressLineNumbers w:val="0"/>
        <w:jc w:val="left"/>
      </w:pPr>
    </w:p>
    <w:p w14:paraId="02471A5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0255" cy="4570730"/>
            <wp:effectExtent l="0" t="0" r="17145" b="127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850255" cy="4570730"/>
                    </a:xfrm>
                    <a:prstGeom prst="rect">
                      <a:avLst/>
                    </a:prstGeom>
                    <a:noFill/>
                    <a:ln w="9525">
                      <a:noFill/>
                    </a:ln>
                  </pic:spPr>
                </pic:pic>
              </a:graphicData>
            </a:graphic>
          </wp:inline>
        </w:drawing>
      </w:r>
    </w:p>
    <w:p w14:paraId="13167B21">
      <w:pPr>
        <w:widowControl/>
        <w:shd w:val="clear" w:color="auto" w:fill="FFFFFF"/>
        <w:spacing w:line="424" w:lineRule="atLeast"/>
        <w:ind w:left="270" w:hanging="270" w:hangingChars="100"/>
        <w:jc w:val="left"/>
        <w:rPr>
          <w:rFonts w:ascii="Arial" w:hAnsi="Arial" w:eastAsia="宋体" w:cs="Arial"/>
          <w:color w:val="000000"/>
          <w:kern w:val="0"/>
          <w:sz w:val="27"/>
          <w:szCs w:val="27"/>
        </w:rPr>
      </w:pPr>
    </w:p>
    <w:p w14:paraId="7864DFB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09615" cy="1849755"/>
            <wp:effectExtent l="0" t="0" r="635" b="17145"/>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0"/>
                    <a:stretch>
                      <a:fillRect/>
                    </a:stretch>
                  </pic:blipFill>
                  <pic:spPr>
                    <a:xfrm>
                      <a:off x="0" y="0"/>
                      <a:ext cx="5809615" cy="1849755"/>
                    </a:xfrm>
                    <a:prstGeom prst="rect">
                      <a:avLst/>
                    </a:prstGeom>
                    <a:noFill/>
                    <a:ln w="9525">
                      <a:noFill/>
                    </a:ln>
                  </pic:spPr>
                </pic:pic>
              </a:graphicData>
            </a:graphic>
          </wp:inline>
        </w:drawing>
      </w:r>
    </w:p>
    <w:p w14:paraId="1CAD6E7F">
      <w:pPr>
        <w:keepNext w:val="0"/>
        <w:keepLines w:val="0"/>
        <w:widowControl/>
        <w:suppressLineNumbers w:val="0"/>
        <w:jc w:val="left"/>
      </w:pPr>
    </w:p>
    <w:p w14:paraId="7BE97D5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7705" cy="1728470"/>
            <wp:effectExtent l="0" t="0" r="444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767705" cy="1728470"/>
                    </a:xfrm>
                    <a:prstGeom prst="rect">
                      <a:avLst/>
                    </a:prstGeom>
                    <a:noFill/>
                    <a:ln w="9525">
                      <a:noFill/>
                    </a:ln>
                  </pic:spPr>
                </pic:pic>
              </a:graphicData>
            </a:graphic>
          </wp:inline>
        </w:drawing>
      </w:r>
    </w:p>
    <w:p w14:paraId="6E905DA1">
      <w:pPr>
        <w:keepNext w:val="0"/>
        <w:keepLines w:val="0"/>
        <w:widowControl/>
        <w:suppressLineNumbers w:val="0"/>
        <w:jc w:val="left"/>
      </w:pPr>
    </w:p>
    <w:p w14:paraId="348798C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2310" cy="2229485"/>
            <wp:effectExtent l="0" t="0" r="8890"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5782310" cy="2229485"/>
                    </a:xfrm>
                    <a:prstGeom prst="rect">
                      <a:avLst/>
                    </a:prstGeom>
                    <a:noFill/>
                    <a:ln w="9525">
                      <a:noFill/>
                    </a:ln>
                  </pic:spPr>
                </pic:pic>
              </a:graphicData>
            </a:graphic>
          </wp:inline>
        </w:drawing>
      </w:r>
    </w:p>
    <w:p w14:paraId="661AEDF1">
      <w:pPr>
        <w:shd w:val="clear" w:color="auto" w:fill="auto"/>
        <w:adjustRightInd w:val="0"/>
        <w:snapToGrid w:val="0"/>
        <w:spacing w:line="580" w:lineRule="atLeast"/>
        <w:ind w:firstLine="540" w:firstLineChars="200"/>
        <w:rPr>
          <w:rFonts w:hint="eastAsia" w:ascii="黑体" w:hAnsi="黑体" w:eastAsia="黑体" w:cs="黑体"/>
          <w:bCs/>
          <w:sz w:val="32"/>
          <w:szCs w:val="32"/>
          <w:highlight w:val="none"/>
          <w:lang w:val="en-US" w:eastAsia="zh-CN"/>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color w:val="000000"/>
          <w:kern w:val="0"/>
          <w:sz w:val="27"/>
          <w:szCs w:val="27"/>
        </w:rPr>
        <w:br w:type="textWrapping"/>
      </w:r>
      <w:r>
        <w:rPr>
          <w:rFonts w:hint="eastAsia" w:ascii="Arial" w:hAnsi="Arial" w:eastAsia="宋体" w:cs="Arial"/>
          <w:b/>
          <w:bCs/>
          <w:color w:val="000000"/>
          <w:kern w:val="0"/>
          <w:sz w:val="27"/>
          <w:lang w:val="en-US" w:eastAsia="zh-CN"/>
        </w:rPr>
        <w:t>一、收入支出决算总体情况说明</w:t>
      </w:r>
    </w:p>
    <w:p w14:paraId="1F7A33FD">
      <w:pPr>
        <w:widowControl/>
        <w:shd w:val="clear" w:color="auto" w:fill="FFFFFF"/>
        <w:spacing w:line="424" w:lineRule="atLeast"/>
        <w:ind w:left="269" w:leftChars="128" w:firstLine="540" w:firstLineChars="200"/>
        <w:jc w:val="left"/>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收入总计为612.74万元。与2021年度相比，收入总计增加441.84万元，增长258.5%，主要原因是今年增加下卫拆迁房源购房款经费389.2万元，维稳经费30万元。支出总计601.88万元。与2021年度相比，支出总计增加422.66万元，增长235.8%，主要原因是今年增加下卫拆迁房源购房款经费389.2万元，维稳经费14.7万元。</w:t>
      </w:r>
    </w:p>
    <w:p w14:paraId="0DE181D8">
      <w:pPr>
        <w:numPr>
          <w:ilvl w:val="0"/>
          <w:numId w:val="0"/>
        </w:num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Fonts w:hint="eastAsia" w:ascii="Arial" w:hAnsi="Arial" w:eastAsia="宋体" w:cs="Arial"/>
          <w:b/>
          <w:bCs/>
          <w:color w:val="000000"/>
          <w:kern w:val="0"/>
          <w:sz w:val="27"/>
          <w:lang w:val="en-US" w:eastAsia="zh-CN"/>
        </w:rPr>
        <w:t>二、收入决算情况说明</w:t>
      </w:r>
    </w:p>
    <w:p w14:paraId="095C436C">
      <w:pPr>
        <w:shd w:val="clear" w:color="auto" w:fill="auto"/>
        <w:bidi w:val="0"/>
        <w:rPr>
          <w:rFonts w:hint="default"/>
          <w:b/>
          <w:bCs/>
          <w:color w:val="FF0000"/>
          <w:lang w:val="en-US" w:eastAsia="zh-CN"/>
        </w:rPr>
      </w:pPr>
      <w:r>
        <w:rPr>
          <w:rFonts w:hint="eastAsia" w:ascii="仿宋_GB2312" w:hAnsi="宋体"/>
          <w:bCs/>
          <w:szCs w:val="32"/>
          <w:highlight w:val="none"/>
          <w:lang w:val="en-US" w:eastAsia="zh-CN"/>
        </w:rPr>
        <w:t xml:space="preserve">    </w:t>
      </w:r>
      <w:r>
        <w:rPr>
          <w:rFonts w:hint="eastAsia" w:ascii="Arial" w:hAnsi="Arial" w:eastAsia="宋体" w:cs="Arial"/>
          <w:color w:val="000000"/>
          <w:kern w:val="0"/>
          <w:sz w:val="27"/>
          <w:szCs w:val="27"/>
          <w:lang w:val="en-US" w:eastAsia="zh-CN"/>
        </w:rPr>
        <w:t>2022年度收入合计612.74万元，与2021年度相比，收入合计增加441.83 万元，增长258.5%。其中：财政拨款收入188.87万元，占本年收入30.8%；上级补助收入0万元，占本年收入0%；事业收入0万元，占本年收入0%；经营收入0万元，占本年收入0%；附属单位上缴收入0万元，占本年收入0%；其他收入423.88万元，占本年收入69.2%。</w:t>
      </w:r>
    </w:p>
    <w:p w14:paraId="052D0CF8">
      <w:pPr>
        <w:shd w:val="clear" w:color="auto" w:fill="auto"/>
        <w:bidi w:val="0"/>
        <w:rPr>
          <w:rFonts w:hint="eastAsia" w:ascii="黑体" w:hAnsi="黑体" w:eastAsia="黑体" w:cs="黑体"/>
        </w:rPr>
      </w:pPr>
      <w:r>
        <w:rPr>
          <w:rFonts w:hint="eastAsia" w:ascii="Arial" w:hAnsi="Arial" w:eastAsia="宋体" w:cs="Arial"/>
          <w:b/>
          <w:bCs/>
          <w:color w:val="000000"/>
          <w:kern w:val="0"/>
          <w:sz w:val="27"/>
          <w:lang w:val="en-US" w:eastAsia="zh-CN"/>
        </w:rPr>
        <w:t>三、支出决算情况说明</w:t>
      </w:r>
    </w:p>
    <w:p w14:paraId="6DE0A4DA">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支出合计601.88万元，与2021年度相比，支出合计增加422.68万元，增长235.8%。其中：基本支出575.63万元，占本年支出95.6%；项目支出26.26万元，占本年支出4.4%；上缴上级支出0万元，占本年支出0%；经营支出0万元，占本年支出0%；对附属单位补助支出0万元，占本年支出0%。</w:t>
      </w:r>
    </w:p>
    <w:p w14:paraId="7AE0F968">
      <w:pPr>
        <w:shd w:val="clear" w:color="auto" w:fill="auto"/>
        <w:bidi w:val="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四、财政拨款收入支出决算总体情况说明</w:t>
      </w:r>
    </w:p>
    <w:p w14:paraId="2A6D8394">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2022年度财政拨款收、支总计均为188.87万元。与2021年度相比，财政拨款收、支总计各增加27.97万元，增长17.4%。主要原因是今年增加三名专业技术人员，对应经费增加。</w:t>
      </w:r>
    </w:p>
    <w:p w14:paraId="051FBC44">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2022年度财政拨款收入中，一般公共预算财政拨款收入188.87万元，比2021年度决算数增加27.97 万元。增加的主要原因是今年增加三名专业技术人员。政府性基金预算财政拨款收入0万元，与上年决算对比无增减变化。主要原因是这两年均无此费用发重生。国有资本经营预算财政拨款收入0万元，与上年决算对比无增减变化。主要原因是这两年均无此费用发重生。</w:t>
      </w:r>
    </w:p>
    <w:p w14:paraId="2B0BCFAB">
      <w:pPr>
        <w:numPr>
          <w:ilvl w:val="0"/>
          <w:numId w:val="0"/>
        </w:numPr>
        <w:shd w:val="clear" w:color="auto" w:fill="auto"/>
        <w:bidi w:val="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五、一般公共预算财政拨款支出决算情况说明</w:t>
      </w:r>
    </w:p>
    <w:p w14:paraId="433AE4CF">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财政拨款支出决算总体情况。</w:t>
      </w:r>
    </w:p>
    <w:p w14:paraId="3D655464">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2022年度一般公共预算财政拨款支出188.87万元，占本年支出合计的30.8 %。与2021年度相比，一般公共预算财政拨款支出增加27.97万元，增长17.4%。主要原因是今年增加三名专业技术人员，对应经费增加</w:t>
      </w:r>
      <w:bookmarkStart w:id="0" w:name="_GoBack"/>
      <w:bookmarkEnd w:id="0"/>
      <w:r>
        <w:rPr>
          <w:rFonts w:hint="eastAsia" w:ascii="Arial" w:hAnsi="Arial" w:eastAsia="宋体" w:cs="Arial"/>
          <w:color w:val="000000"/>
          <w:kern w:val="0"/>
          <w:sz w:val="27"/>
          <w:szCs w:val="27"/>
          <w:lang w:val="en-US" w:eastAsia="zh-CN"/>
        </w:rPr>
        <w:t>。</w:t>
      </w:r>
    </w:p>
    <w:p w14:paraId="3F2106FC">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（二）一般公共预算财政拨款支出决算结构情况。</w:t>
      </w:r>
    </w:p>
    <w:p w14:paraId="017CE2DE">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2022年度一般公共预算财政拨款支出188.87 万元，主要用于以下方面：</w:t>
      </w:r>
    </w:p>
    <w:p w14:paraId="56F6A268">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1.城乡社区支出（类）支出188.87万元，占100%。主要是用于人员经费、公用经费、项目经费开支。</w:t>
      </w:r>
    </w:p>
    <w:p w14:paraId="288FE762">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（三）一般公共预算财政拨款支出决算具体情况。</w:t>
      </w:r>
    </w:p>
    <w:p w14:paraId="699CAA41">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2022年度一般公共预算财政拨款支出年初预算为207.04万元，支出决算为188.87万元，完成年初预算的91.2%。其中：</w:t>
      </w:r>
    </w:p>
    <w:p w14:paraId="6DE309DD">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1.城乡社区支出(类)城乡社区管理事务（款）行政运行（项）。年初预算为187.04万元，支出决算为171.87万元，完成年初预算的91.9%，支出决算数小于年初预算数的主要原因：预算金额不准确，部分未支出。</w:t>
      </w:r>
    </w:p>
    <w:p w14:paraId="41984102">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2.城乡社区支出(类)城乡社区管理事务（款）一般行政管理事务（项）。年初预算为20万元，支出决算为17万元，完成年初预算的85%，支出决算数小于年初预算数的主要原因：因部分项目未验收，部分资金未支付。</w:t>
      </w:r>
    </w:p>
    <w:p w14:paraId="61BE55E6">
      <w:pPr>
        <w:shd w:val="clear" w:color="auto" w:fill="auto"/>
        <w:bidi w:val="0"/>
        <w:rPr>
          <w:rFonts w:hint="eastAsia"/>
          <w:lang w:val="en-US" w:eastAsia="zh-CN"/>
        </w:rPr>
      </w:pPr>
      <w:r>
        <w:rPr>
          <w:rFonts w:hint="eastAsia" w:ascii="Arial" w:hAnsi="Arial" w:eastAsia="宋体" w:cs="Arial"/>
          <w:b/>
          <w:bCs/>
          <w:color w:val="000000"/>
          <w:kern w:val="0"/>
          <w:sz w:val="27"/>
          <w:lang w:val="en-US" w:eastAsia="zh-CN"/>
        </w:rPr>
        <w:t>六、一般公共预算财政拨款基本支出决算情况说明</w:t>
      </w:r>
    </w:p>
    <w:p w14:paraId="04F8BF0C">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2022年度一般公共预算财政拨款基本支出162.61万元，其中：</w:t>
      </w:r>
    </w:p>
    <w:p w14:paraId="3B1FDF78">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人员经费146.83万元，主要包括：基本工资、津贴补贴、奖金、绩效工资、机关事业单位基本养老保险缴费、职工基本医疗保险缴费、公务员医疗补助缴费、其他社会保障缴费、住房公积金、其他工资福利支出。</w:t>
      </w:r>
    </w:p>
    <w:p w14:paraId="379580C8">
      <w:pPr>
        <w:shd w:val="clear" w:color="auto" w:fill="auto"/>
        <w:bidi w:val="0"/>
        <w:ind w:firstLine="810" w:firstLineChars="300"/>
        <w:rPr>
          <w:rFonts w:hint="default" w:ascii="仿宋_GB2312" w:eastAsia="仿宋_GB2312"/>
          <w:b/>
          <w:bCs/>
          <w:color w:val="FF0000"/>
          <w:sz w:val="32"/>
          <w:szCs w:val="32"/>
          <w:highlight w:val="none"/>
          <w:lang w:val="en-US" w:eastAsia="zh-CN"/>
        </w:rPr>
      </w:pPr>
      <w:r>
        <w:rPr>
          <w:rFonts w:hint="eastAsia" w:ascii="Arial" w:hAnsi="Arial" w:eastAsia="宋体" w:cs="Arial"/>
          <w:color w:val="000000"/>
          <w:kern w:val="0"/>
          <w:sz w:val="27"/>
          <w:szCs w:val="27"/>
          <w:lang w:val="en-US" w:eastAsia="zh-CN"/>
        </w:rPr>
        <w:t>公用经费15.78万元，主要包括：办公费、电费、邮电费、维修(护)费、工会经费、福利费、其他交通费用、其他商品和服务支出。</w:t>
      </w:r>
    </w:p>
    <w:p w14:paraId="6B2ACB59">
      <w:pPr>
        <w:numPr>
          <w:ilvl w:val="0"/>
          <w:numId w:val="0"/>
        </w:numPr>
        <w:shd w:val="clear" w:color="auto" w:fill="auto"/>
        <w:bidi w:val="0"/>
        <w:ind w:firstLine="542" w:firstLineChars="200"/>
        <w:rPr>
          <w:rFonts w:hint="eastAsia" w:ascii="黑体" w:hAnsi="黑体" w:eastAsia="黑体" w:cs="黑体"/>
          <w:sz w:val="32"/>
          <w:szCs w:val="32"/>
          <w:lang w:val="en-US" w:eastAsia="zh-CN"/>
        </w:rPr>
      </w:pPr>
      <w:r>
        <w:rPr>
          <w:rFonts w:hint="eastAsia" w:ascii="Arial" w:hAnsi="Arial" w:eastAsia="宋体" w:cs="Arial"/>
          <w:b/>
          <w:bCs/>
          <w:color w:val="000000"/>
          <w:kern w:val="0"/>
          <w:sz w:val="27"/>
          <w:lang w:val="en-US" w:eastAsia="zh-CN"/>
        </w:rPr>
        <w:t>七、政府性基金预算财政拨款收入支出决算情况说明</w:t>
      </w:r>
      <w:r>
        <w:rPr>
          <w:rFonts w:hint="eastAsia" w:ascii="黑体" w:hAnsi="黑体" w:eastAsia="黑体" w:cs="黑体"/>
          <w:lang w:val="en-US" w:eastAsia="zh-CN"/>
        </w:rPr>
        <w:t xml:space="preserve"> </w:t>
      </w:r>
    </w:p>
    <w:p w14:paraId="524DB7DF">
      <w:pPr>
        <w:shd w:val="clear" w:color="auto" w:fill="auto"/>
        <w:bidi w:val="0"/>
        <w:ind w:firstLine="810" w:firstLineChars="300"/>
        <w:rPr>
          <w:rFonts w:hint="default"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本部门当年无政府性基金预算财政拨款收入支出。</w:t>
      </w:r>
    </w:p>
    <w:p w14:paraId="3A878155">
      <w:pPr>
        <w:numPr>
          <w:ilvl w:val="0"/>
          <w:numId w:val="0"/>
        </w:numPr>
        <w:shd w:val="clear" w:color="auto" w:fill="auto"/>
        <w:bidi w:val="0"/>
        <w:ind w:firstLine="542" w:firstLineChars="200"/>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八、国有资本经营预算财政拨款支出决算情况说明</w:t>
      </w:r>
    </w:p>
    <w:p w14:paraId="2CE581D5">
      <w:pPr>
        <w:shd w:val="clear" w:color="auto" w:fill="auto"/>
        <w:ind w:firstLine="640"/>
        <w:jc w:val="both"/>
        <w:rPr>
          <w:rFonts w:hint="eastAsia" w:ascii="仿宋_GB2312" w:hAnsi="仿宋_GB2312" w:cs="仿宋_GB2312"/>
          <w:b w:val="0"/>
          <w:bCs w:val="0"/>
          <w:sz w:val="32"/>
          <w:szCs w:val="32"/>
          <w:lang w:val="en-US" w:eastAsia="zh-CN"/>
        </w:rPr>
      </w:pPr>
      <w:r>
        <w:rPr>
          <w:rFonts w:hint="eastAsia" w:ascii="Arial" w:hAnsi="Arial" w:eastAsia="宋体" w:cs="Arial"/>
          <w:color w:val="000000"/>
          <w:kern w:val="0"/>
          <w:sz w:val="27"/>
          <w:szCs w:val="27"/>
          <w:lang w:val="en-US" w:eastAsia="zh-CN"/>
        </w:rPr>
        <w:t>本部门当年无国有资本经营预算财政拨款支出</w:t>
      </w:r>
      <w:r>
        <w:rPr>
          <w:rFonts w:hint="eastAsia" w:ascii="仿宋_GB2312" w:hAnsi="仿宋_GB2312" w:cs="仿宋_GB2312"/>
          <w:b w:val="0"/>
          <w:bCs w:val="0"/>
          <w:sz w:val="32"/>
          <w:szCs w:val="32"/>
          <w:lang w:val="en-US" w:eastAsia="zh-CN"/>
        </w:rPr>
        <w:t>。</w:t>
      </w:r>
    </w:p>
    <w:p w14:paraId="4BD8FCEE">
      <w:pPr>
        <w:numPr>
          <w:ilvl w:val="0"/>
          <w:numId w:val="0"/>
        </w:numPr>
        <w:shd w:val="clear" w:color="auto" w:fill="auto"/>
        <w:bidi w:val="0"/>
        <w:ind w:firstLine="542" w:firstLineChars="20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九、一般公共预算财政拨款“三公”经费支出决算情况说明</w:t>
      </w:r>
      <w:r>
        <w:rPr>
          <w:rFonts w:hint="eastAsia" w:ascii="黑体" w:hAnsi="黑体" w:eastAsia="黑体" w:cs="黑体"/>
          <w:lang w:val="en-US" w:eastAsia="zh-CN"/>
        </w:rPr>
        <w:t xml:space="preserve"> </w:t>
      </w:r>
    </w:p>
    <w:p w14:paraId="55539511">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（一）“三公”经费财政拨款支出决算总体情况说明。</w:t>
      </w:r>
    </w:p>
    <w:p w14:paraId="7BBC66CC">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三公”经费财政拨款支出预算为0万元，支出决算为0万元，完成预算的0%。与本年预算对比无增减变化。主要原因是本部门严格控制经费支出，全年无经费开支。与上年决算对比无增减变化，主要原因：这两年无经费开支。</w:t>
      </w:r>
    </w:p>
    <w:p w14:paraId="2000BC17">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（二）“三公”经费财政拨款支出决算具体情况说明。</w:t>
      </w:r>
    </w:p>
    <w:p w14:paraId="1CDE5B3C">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1.因公出国(境)费预算为0万元，支出决算为0万元，与本年预算对比无增减变化，与上年决算对比无增减变化，主要原因是单位无此预算，也无此费用支出。</w:t>
      </w:r>
    </w:p>
    <w:p w14:paraId="25CF645C">
      <w:pPr>
        <w:shd w:val="clear" w:color="auto" w:fill="auto"/>
        <w:ind w:firstLine="640"/>
        <w:jc w:val="both"/>
        <w:rPr>
          <w:rFonts w:hint="default"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全年支出涉及出国（境）团组0个，累计0人次，主要用于开展以下工作：无。</w:t>
      </w:r>
    </w:p>
    <w:p w14:paraId="02B4297D">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2.公务用车购置及运行费预算为0万元，支出决算为0万元，与本年预算对比无增减变化，与上年决算对比无增减变化，主要原因是单位无此预算，也无此费用支出。其中：</w:t>
      </w:r>
    </w:p>
    <w:p w14:paraId="29E1AA98">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(1)公务用车购置费支出0万元，主要是公车改革后，单位无此预算，也无此费用支出。本年度购置(更新)公务用车0辆。</w:t>
      </w:r>
    </w:p>
    <w:p w14:paraId="6B117C96">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(2)公务用车运行费支出0万元，主要是公车改革后，也无此费用支出。截止2022年12月31日，开支财政拨款的公务用车保有量为0 辆。</w:t>
      </w:r>
    </w:p>
    <w:p w14:paraId="606C8911">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3.公务接待费预算为0万元，支出决算为0万元，与本年预算对比无增减变化，与上年决算对比无增减变化，主要原因是单位无此预算，也无此费用支出。其中：</w:t>
      </w:r>
    </w:p>
    <w:p w14:paraId="28CEDFD0">
      <w:pPr>
        <w:shd w:val="clear" w:color="auto" w:fill="auto"/>
        <w:ind w:firstLine="640"/>
        <w:jc w:val="both"/>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外宾接待支出0万元，主要是未开展此工作。2022年共接待来访团组0个，0人次（不包括陪同人员）。</w:t>
      </w:r>
    </w:p>
    <w:p w14:paraId="2036A599">
      <w:pPr>
        <w:shd w:val="clear" w:color="auto" w:fill="auto"/>
        <w:ind w:firstLine="640"/>
        <w:jc w:val="both"/>
        <w:rPr>
          <w:rFonts w:hint="eastAsia"/>
          <w:b w:val="0"/>
          <w:bCs w:val="0"/>
          <w:color w:val="FF0000"/>
          <w:lang w:val="en-US" w:eastAsia="zh-CN"/>
        </w:rPr>
      </w:pPr>
      <w:r>
        <w:rPr>
          <w:rFonts w:hint="eastAsia" w:ascii="Arial" w:hAnsi="Arial" w:eastAsia="宋体" w:cs="Arial"/>
          <w:color w:val="000000"/>
          <w:kern w:val="0"/>
          <w:sz w:val="27"/>
          <w:szCs w:val="27"/>
          <w:lang w:val="en-US" w:eastAsia="zh-CN"/>
        </w:rPr>
        <w:t>国内公务接待支出0万元，接待对象主要是.无，主要是单位严格控制经费，全年无经费支出。2022年共接待国内来访团组0个，0人次（不包括陪同人员）。</w:t>
      </w:r>
    </w:p>
    <w:p w14:paraId="04CCC0E0">
      <w:pPr>
        <w:shd w:val="clear" w:color="auto" w:fill="auto"/>
        <w:jc w:val="both"/>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十、机关运行经费支出说明</w:t>
      </w:r>
    </w:p>
    <w:p w14:paraId="7639D3CE">
      <w:pPr>
        <w:pStyle w:val="15"/>
        <w:shd w:val="clear" w:color="auto" w:fill="auto"/>
        <w:rPr>
          <w:rFonts w:hint="eastAsia" w:ascii="Arial" w:hAnsi="Arial" w:eastAsia="宋体" w:cs="Arial"/>
          <w:color w:val="000000"/>
          <w:kern w:val="0"/>
          <w:sz w:val="27"/>
          <w:szCs w:val="27"/>
          <w:lang w:val="en-US" w:eastAsia="zh-CN" w:bidi="ar-SA"/>
        </w:rPr>
      </w:pPr>
      <w:r>
        <w:rPr>
          <w:rFonts w:hint="eastAsia" w:ascii="Arial" w:hAnsi="Arial" w:eastAsia="宋体" w:cs="Arial"/>
          <w:color w:val="000000"/>
          <w:kern w:val="0"/>
          <w:sz w:val="27"/>
          <w:szCs w:val="27"/>
          <w:lang w:val="en-US" w:eastAsia="zh-CN" w:bidi="ar-SA"/>
        </w:rPr>
        <w:t>本部门 2022年度机关运行经费支出15.78万元，比年初预算数减少0.06万元，减少0.4%。主要原因是：落实过紧日子要求压减公用经费支出；比上年决算数增加11.18万元，增长243.1%。主要原因是：今年公务交通补助、工会经费、福利费比去年增加。</w:t>
      </w:r>
    </w:p>
    <w:p w14:paraId="02B9BFA4">
      <w:pPr>
        <w:numPr>
          <w:ilvl w:val="0"/>
          <w:numId w:val="0"/>
        </w:numPr>
        <w:shd w:val="clear" w:color="auto" w:fill="auto"/>
        <w:bidi w:val="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十一、政府采购支出说明</w:t>
      </w:r>
    </w:p>
    <w:p w14:paraId="7092226B">
      <w:pPr>
        <w:numPr>
          <w:ilvl w:val="0"/>
          <w:numId w:val="0"/>
        </w:numPr>
        <w:shd w:val="clear" w:color="auto" w:fill="auto"/>
        <w:bidi w:val="0"/>
        <w:ind w:firstLine="540" w:firstLineChars="200"/>
        <w:rPr>
          <w:rFonts w:hint="eastAsia" w:ascii="仿宋_GB2312" w:hAnsi="仿宋_GB2312" w:eastAsia="仿宋_GB2312" w:cs="仿宋_GB2312"/>
          <w:sz w:val="32"/>
          <w:szCs w:val="32"/>
        </w:rPr>
      </w:pPr>
      <w:r>
        <w:rPr>
          <w:rFonts w:hint="eastAsia" w:ascii="Arial" w:hAnsi="Arial" w:eastAsia="宋体" w:cs="Arial"/>
          <w:color w:val="000000"/>
          <w:kern w:val="0"/>
          <w:sz w:val="27"/>
          <w:szCs w:val="27"/>
          <w:lang w:val="en-US" w:eastAsia="zh-CN" w:bidi="ar-SA"/>
        </w:rPr>
        <w:t>本部门 2022年度政府采购支出总额3.19万元，其中：政府采购货物支出3.19万元、政府采购工程支出0万元、政府采购服务支出0万元。授予中小企业合同金额3.19万元，占政府采购支出总额的100%，其中：授予小微企业合同金额3.19万元，占授予中小企业合同金额的100%；货物采购授予中小企业合同金额占货物支出金额的100%，工程采购授予中小企业合同金额占工程支出金额的0%，服务采购授予中小企业合同金额占服务支出金额的0%。</w:t>
      </w:r>
    </w:p>
    <w:p w14:paraId="30BEC6C4">
      <w:pPr>
        <w:numPr>
          <w:ilvl w:val="0"/>
          <w:numId w:val="0"/>
        </w:numPr>
        <w:shd w:val="clear" w:color="auto" w:fill="auto"/>
        <w:bidi w:val="0"/>
        <w:ind w:leftChars="20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十二、国有资产占用情况说明</w:t>
      </w:r>
    </w:p>
    <w:p w14:paraId="550990AC">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bidi="ar-SA"/>
        </w:rPr>
      </w:pPr>
      <w:r>
        <w:rPr>
          <w:rFonts w:hint="eastAsia" w:ascii="Arial" w:hAnsi="Arial" w:eastAsia="宋体" w:cs="Arial"/>
          <w:color w:val="000000"/>
          <w:kern w:val="0"/>
          <w:sz w:val="27"/>
          <w:szCs w:val="27"/>
          <w:lang w:val="en-US" w:eastAsia="zh-CN" w:bidi="ar-SA"/>
        </w:rPr>
        <w:t>截至2022年 12月31日，部门共有车辆 0 辆，其中，副省级及以上领导干部用车 0辆、主要领导干部用车0辆、机要通信用车0辆、应急保障用车0 辆、执法执勤用车 0 辆、特种专业技术用车 0辆、其他用车 0 辆，其他用车主要是无；单位价值 100万元以上设备（不含车辆）0 台（套）。</w:t>
      </w:r>
    </w:p>
    <w:p w14:paraId="50CE1036">
      <w:pPr>
        <w:widowControl/>
        <w:numPr>
          <w:ilvl w:val="0"/>
          <w:numId w:val="0"/>
        </w:numPr>
        <w:shd w:val="clear" w:color="auto" w:fill="FFFFFF"/>
        <w:spacing w:line="424" w:lineRule="atLeast"/>
        <w:ind w:leftChars="-100"/>
        <w:jc w:val="left"/>
        <w:rPr>
          <w:rFonts w:ascii="Arial" w:hAnsi="Arial" w:eastAsia="宋体" w:cs="Arial"/>
          <w:color w:val="000000"/>
          <w:kern w:val="0"/>
          <w:sz w:val="27"/>
          <w:szCs w:val="27"/>
        </w:rPr>
      </w:pPr>
      <w:r>
        <w:rPr>
          <w:rFonts w:hint="eastAsia" w:ascii="Arial" w:hAnsi="Arial" w:eastAsia="宋体" w:cs="Arial"/>
          <w:b/>
          <w:bCs/>
          <w:color w:val="000000"/>
          <w:kern w:val="0"/>
          <w:sz w:val="27"/>
          <w:lang w:val="en-US" w:eastAsia="zh-CN"/>
        </w:rPr>
        <w:t xml:space="preserve">  </w:t>
      </w:r>
      <w:r>
        <w:rPr>
          <w:rFonts w:ascii="Arial" w:hAnsi="Arial" w:eastAsia="宋体" w:cs="Arial"/>
          <w:b/>
          <w:bCs/>
          <w:color w:val="000000"/>
          <w:kern w:val="0"/>
          <w:sz w:val="27"/>
        </w:rPr>
        <w:t>十</w:t>
      </w:r>
      <w:r>
        <w:rPr>
          <w:rFonts w:hint="eastAsia" w:ascii="Arial" w:hAnsi="Arial" w:eastAsia="宋体" w:cs="Arial"/>
          <w:b/>
          <w:bCs/>
          <w:color w:val="000000"/>
          <w:kern w:val="0"/>
          <w:sz w:val="27"/>
          <w:lang w:eastAsia="zh-CN"/>
        </w:rPr>
        <w:t>三</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根据预算绩效管理要求，我单位组织对202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年度一般公共预算项目支出全面开展绩效自评，共涉及项目1个，资金</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万元（其中：一般公共预算拨款</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万元，其他资金0万元，上年结余结转0万元），占一般公共预算项目支出总额的100%。从评价情况来看，202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单位组</w:t>
      </w:r>
      <w:r>
        <w:rPr>
          <w:rFonts w:ascii="Arial" w:hAnsi="Arial" w:eastAsia="宋体" w:cs="Arial"/>
          <w:color w:val="000000"/>
          <w:kern w:val="0"/>
          <w:sz w:val="27"/>
          <w:szCs w:val="27"/>
        </w:rPr>
        <w:t>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001" w:type="dxa"/>
        <w:tblInd w:w="0" w:type="dxa"/>
        <w:shd w:val="clear" w:color="auto" w:fill="auto"/>
        <w:tblLayout w:type="fixed"/>
        <w:tblCellMar>
          <w:top w:w="0" w:type="dxa"/>
          <w:left w:w="0" w:type="dxa"/>
          <w:bottom w:w="0" w:type="dxa"/>
          <w:right w:w="0" w:type="dxa"/>
        </w:tblCellMar>
      </w:tblPr>
      <w:tblGrid>
        <w:gridCol w:w="647"/>
        <w:gridCol w:w="624"/>
        <w:gridCol w:w="767"/>
        <w:gridCol w:w="405"/>
        <w:gridCol w:w="3278"/>
        <w:gridCol w:w="2545"/>
        <w:gridCol w:w="547"/>
        <w:gridCol w:w="713"/>
        <w:gridCol w:w="475"/>
      </w:tblGrid>
      <w:tr w14:paraId="70B8A41A">
        <w:tblPrEx>
          <w:shd w:val="clear" w:color="auto" w:fill="auto"/>
          <w:tblCellMar>
            <w:top w:w="0" w:type="dxa"/>
            <w:left w:w="0" w:type="dxa"/>
            <w:bottom w:w="0" w:type="dxa"/>
            <w:right w:w="0" w:type="dxa"/>
          </w:tblCellMar>
        </w:tblPrEx>
        <w:trPr>
          <w:trHeight w:val="560" w:hRule="atLeast"/>
        </w:trPr>
        <w:tc>
          <w:tcPr>
            <w:tcW w:w="10001" w:type="dxa"/>
            <w:gridSpan w:val="9"/>
            <w:tcBorders>
              <w:top w:val="nil"/>
              <w:left w:val="nil"/>
              <w:bottom w:val="nil"/>
              <w:right w:val="nil"/>
            </w:tcBorders>
            <w:shd w:val="clear" w:color="auto" w:fill="FFFFFF"/>
            <w:tcMar>
              <w:top w:w="15" w:type="dxa"/>
              <w:left w:w="15" w:type="dxa"/>
              <w:right w:w="15" w:type="dxa"/>
            </w:tcMar>
            <w:vAlign w:val="center"/>
          </w:tcPr>
          <w:p w14:paraId="58FDD27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461C5B82">
        <w:tblPrEx>
          <w:tblCellMar>
            <w:top w:w="0" w:type="dxa"/>
            <w:left w:w="0" w:type="dxa"/>
            <w:bottom w:w="0" w:type="dxa"/>
            <w:right w:w="0" w:type="dxa"/>
          </w:tblCellMar>
        </w:tblPrEx>
        <w:trPr>
          <w:trHeight w:val="78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7A445">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44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E8B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黄石市下陆区住房保障局</w:t>
            </w:r>
          </w:p>
        </w:tc>
        <w:tc>
          <w:tcPr>
            <w:tcW w:w="2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565F3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C37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2023.3</w:t>
            </w:r>
          </w:p>
        </w:tc>
      </w:tr>
      <w:tr w14:paraId="10067FD3">
        <w:tblPrEx>
          <w:tblCellMar>
            <w:top w:w="0" w:type="dxa"/>
            <w:left w:w="0" w:type="dxa"/>
            <w:bottom w:w="0" w:type="dxa"/>
            <w:right w:w="0" w:type="dxa"/>
          </w:tblCellMar>
        </w:tblPrEx>
        <w:trPr>
          <w:trHeight w:val="60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4607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9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55A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黄石市下陆区住房保障局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887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314D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5E2DD794">
        <w:tblPrEx>
          <w:tblCellMar>
            <w:top w:w="0" w:type="dxa"/>
            <w:left w:w="0" w:type="dxa"/>
            <w:bottom w:w="0" w:type="dxa"/>
            <w:right w:w="0" w:type="dxa"/>
          </w:tblCellMar>
        </w:tblPrEx>
        <w:trPr>
          <w:trHeight w:val="435" w:hRule="atLeast"/>
        </w:trPr>
        <w:tc>
          <w:tcPr>
            <w:tcW w:w="244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C6FE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314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575.63</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E14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1C3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26.26</w:t>
            </w:r>
          </w:p>
        </w:tc>
      </w:tr>
      <w:tr w14:paraId="50932518">
        <w:tblPrEx>
          <w:tblCellMar>
            <w:top w:w="0" w:type="dxa"/>
            <w:left w:w="0" w:type="dxa"/>
            <w:bottom w:w="0" w:type="dxa"/>
            <w:right w:w="0" w:type="dxa"/>
          </w:tblCellMar>
        </w:tblPrEx>
        <w:trPr>
          <w:trHeight w:val="495" w:hRule="atLeast"/>
        </w:trPr>
        <w:tc>
          <w:tcPr>
            <w:tcW w:w="244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D7C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60AE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8CC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5C5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2C091D20">
        <w:tblPrEx>
          <w:tblCellMar>
            <w:top w:w="0" w:type="dxa"/>
            <w:left w:w="0" w:type="dxa"/>
            <w:bottom w:w="0" w:type="dxa"/>
            <w:right w:w="0" w:type="dxa"/>
          </w:tblCellMar>
        </w:tblPrEx>
        <w:trPr>
          <w:trHeight w:val="400" w:hRule="atLeast"/>
        </w:trPr>
        <w:tc>
          <w:tcPr>
            <w:tcW w:w="244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B4A8E">
            <w:pPr>
              <w:jc w:val="center"/>
              <w:rPr>
                <w:rFonts w:hint="eastAsia" w:ascii="仿宋_GB2312" w:hAnsi="宋体" w:eastAsia="仿宋_GB2312" w:cs="仿宋_GB2312"/>
                <w:i w:val="0"/>
                <w:color w:val="000000"/>
                <w:sz w:val="20"/>
                <w:szCs w:val="20"/>
                <w:u w:val="none"/>
              </w:rPr>
            </w:pP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C43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601.89</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DD1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207.04</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EC37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291%</w:t>
            </w:r>
          </w:p>
        </w:tc>
      </w:tr>
      <w:tr w14:paraId="5955A1A2">
        <w:tblPrEx>
          <w:tblCellMar>
            <w:top w:w="0" w:type="dxa"/>
            <w:left w:w="0" w:type="dxa"/>
            <w:bottom w:w="0" w:type="dxa"/>
            <w:right w:w="0" w:type="dxa"/>
          </w:tblCellMar>
        </w:tblPrEx>
        <w:trPr>
          <w:trHeight w:val="9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266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34E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6FA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775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EDB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E1B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3BE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035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CDA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72C989B">
        <w:tblPrEx>
          <w:tblCellMar>
            <w:top w:w="0" w:type="dxa"/>
            <w:left w:w="0" w:type="dxa"/>
            <w:bottom w:w="0" w:type="dxa"/>
            <w:right w:w="0" w:type="dxa"/>
          </w:tblCellMar>
        </w:tblPrEx>
        <w:trPr>
          <w:trHeight w:val="336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51AB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B8A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46E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DA2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8B3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8BC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66F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A70C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291.00%</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1CA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75136970">
        <w:tblPrEx>
          <w:tblCellMar>
            <w:top w:w="0" w:type="dxa"/>
            <w:left w:w="0" w:type="dxa"/>
            <w:bottom w:w="0" w:type="dxa"/>
            <w:right w:w="0" w:type="dxa"/>
          </w:tblCellMar>
        </w:tblPrEx>
        <w:trPr>
          <w:trHeight w:val="262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D2B13E">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78E37">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FC0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CBE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0A4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FC0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B73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9D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17D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536A670">
        <w:tblPrEx>
          <w:tblCellMar>
            <w:top w:w="0" w:type="dxa"/>
            <w:left w:w="0" w:type="dxa"/>
            <w:bottom w:w="0" w:type="dxa"/>
            <w:right w:w="0" w:type="dxa"/>
          </w:tblCellMar>
        </w:tblPrEx>
        <w:trPr>
          <w:trHeight w:val="272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0A1111">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FAA8D">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F3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47F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45C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97A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18F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E01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半年进度率≥47%，            前三季度进度率≥80% </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9B0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3AC667B">
        <w:tblPrEx>
          <w:tblCellMar>
            <w:top w:w="0" w:type="dxa"/>
            <w:left w:w="0" w:type="dxa"/>
            <w:bottom w:w="0" w:type="dxa"/>
            <w:right w:w="0" w:type="dxa"/>
          </w:tblCellMar>
        </w:tblPrEx>
        <w:trPr>
          <w:trHeight w:val="14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678D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C52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B0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581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E57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263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630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41D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944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1D0ADAE">
        <w:tblPrEx>
          <w:tblCellMar>
            <w:top w:w="0" w:type="dxa"/>
            <w:left w:w="0" w:type="dxa"/>
            <w:bottom w:w="0" w:type="dxa"/>
            <w:right w:w="0" w:type="dxa"/>
          </w:tblCellMar>
        </w:tblPrEx>
        <w:trPr>
          <w:trHeight w:val="13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524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5A2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CC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AB6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6D7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12A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6B8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A9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02A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7223B10">
        <w:tblPrEx>
          <w:tblCellMar>
            <w:top w:w="0" w:type="dxa"/>
            <w:left w:w="0" w:type="dxa"/>
            <w:bottom w:w="0" w:type="dxa"/>
            <w:right w:w="0" w:type="dxa"/>
          </w:tblCellMar>
        </w:tblPrEx>
        <w:trPr>
          <w:trHeight w:val="210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034A87">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6BD89">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D0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CDE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841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5E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C78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2DF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C73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B9071B9">
        <w:tblPrEx>
          <w:tblCellMar>
            <w:top w:w="0" w:type="dxa"/>
            <w:left w:w="0" w:type="dxa"/>
            <w:bottom w:w="0" w:type="dxa"/>
            <w:right w:w="0" w:type="dxa"/>
          </w:tblCellMar>
        </w:tblPrEx>
        <w:trPr>
          <w:trHeight w:val="344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9C6F36">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35F70">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1E6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92F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2AF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0CF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8C9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EF1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FE3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1B4476F">
        <w:tblPrEx>
          <w:tblCellMar>
            <w:top w:w="0" w:type="dxa"/>
            <w:left w:w="0" w:type="dxa"/>
            <w:bottom w:w="0" w:type="dxa"/>
            <w:right w:w="0" w:type="dxa"/>
          </w:tblCellMar>
        </w:tblPrEx>
        <w:trPr>
          <w:trHeight w:val="118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10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EB4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9CB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0AC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327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BDB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B9C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095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C32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DDDA1F2">
        <w:tblPrEx>
          <w:tblCellMar>
            <w:top w:w="0" w:type="dxa"/>
            <w:left w:w="0" w:type="dxa"/>
            <w:bottom w:w="0" w:type="dxa"/>
            <w:right w:w="0" w:type="dxa"/>
          </w:tblCellMar>
        </w:tblPrEx>
        <w:trPr>
          <w:trHeight w:val="102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53800">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050FF">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0F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383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72B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C40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35D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764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FA7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DC8F743">
        <w:tblPrEx>
          <w:tblCellMar>
            <w:top w:w="0" w:type="dxa"/>
            <w:left w:w="0" w:type="dxa"/>
            <w:bottom w:w="0" w:type="dxa"/>
            <w:right w:w="0" w:type="dxa"/>
          </w:tblCellMar>
        </w:tblPrEx>
        <w:trPr>
          <w:trHeight w:val="7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C292D">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67D8B">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51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150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809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FF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5C9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D2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F4E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6DB847C">
        <w:tblPrEx>
          <w:tblCellMar>
            <w:top w:w="0" w:type="dxa"/>
            <w:left w:w="0" w:type="dxa"/>
            <w:bottom w:w="0" w:type="dxa"/>
            <w:right w:w="0" w:type="dxa"/>
          </w:tblCellMar>
        </w:tblPrEx>
        <w:trPr>
          <w:trHeight w:val="90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EEDCD">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22959">
            <w:pPr>
              <w:jc w:val="center"/>
              <w:rPr>
                <w:rFonts w:hint="eastAsia" w:ascii="宋体" w:hAnsi="宋体" w:eastAsia="宋体" w:cs="宋体"/>
                <w:i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76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144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9AA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7F4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32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CCE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9CD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6CAF62E1">
        <w:tblPrEx>
          <w:tblCellMar>
            <w:top w:w="0" w:type="dxa"/>
            <w:left w:w="0" w:type="dxa"/>
            <w:bottom w:w="0" w:type="dxa"/>
            <w:right w:w="0" w:type="dxa"/>
          </w:tblCellMar>
        </w:tblPrEx>
        <w:trPr>
          <w:trHeight w:val="19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85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0CB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C94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F9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2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230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BAC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BBB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FC6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51B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14:paraId="0599B09A">
        <w:tblPrEx>
          <w:tblCellMar>
            <w:top w:w="0" w:type="dxa"/>
            <w:left w:w="0" w:type="dxa"/>
            <w:bottom w:w="0" w:type="dxa"/>
            <w:right w:w="0" w:type="dxa"/>
          </w:tblCellMar>
        </w:tblPrEx>
        <w:trPr>
          <w:trHeight w:val="500" w:hRule="atLeast"/>
        </w:trPr>
        <w:tc>
          <w:tcPr>
            <w:tcW w:w="8266"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5E69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B65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F4A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r>
    </w:tbl>
    <w:p w14:paraId="65F23089">
      <w:pPr>
        <w:widowControl/>
        <w:numPr>
          <w:ilvl w:val="0"/>
          <w:numId w:val="0"/>
        </w:numPr>
        <w:shd w:val="clear" w:color="auto" w:fill="FFFFFF"/>
        <w:spacing w:line="424" w:lineRule="atLeast"/>
        <w:ind w:leftChars="-100"/>
        <w:jc w:val="left"/>
        <w:rPr>
          <w:rFonts w:ascii="Arial" w:hAnsi="Arial" w:eastAsia="宋体" w:cs="Arial"/>
          <w:color w:val="000000"/>
          <w:kern w:val="0"/>
          <w:sz w:val="27"/>
          <w:szCs w:val="27"/>
        </w:rPr>
      </w:pPr>
    </w:p>
    <w:p w14:paraId="4DD4B37D">
      <w:pPr>
        <w:widowControl/>
        <w:numPr>
          <w:ilvl w:val="0"/>
          <w:numId w:val="1"/>
        </w:numPr>
        <w:shd w:val="clear" w:color="auto" w:fill="FFFFFF"/>
        <w:spacing w:line="424" w:lineRule="atLeast"/>
        <w:ind w:leftChars="-100"/>
        <w:jc w:val="left"/>
        <w:rPr>
          <w:rFonts w:ascii="Arial" w:hAnsi="Arial" w:eastAsia="宋体" w:cs="Arial"/>
          <w:color w:val="000000"/>
          <w:kern w:val="0"/>
          <w:sz w:val="27"/>
          <w:szCs w:val="27"/>
        </w:rPr>
      </w:pPr>
      <w:r>
        <w:rPr>
          <w:rFonts w:ascii="Arial" w:hAnsi="Arial" w:eastAsia="宋体" w:cs="Arial"/>
          <w:b/>
          <w:bCs/>
          <w:color w:val="000000"/>
          <w:kern w:val="0"/>
          <w:sz w:val="27"/>
        </w:rPr>
        <w:t>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1. </w:t>
      </w:r>
      <w:r>
        <w:rPr>
          <w:rFonts w:hint="eastAsia" w:ascii="Arial" w:hAnsi="Arial" w:eastAsia="宋体" w:cs="Arial"/>
          <w:b/>
          <w:bCs/>
          <w:color w:val="000000"/>
          <w:kern w:val="0"/>
          <w:sz w:val="27"/>
        </w:rPr>
        <w:t>住保局土储专项经费</w:t>
      </w:r>
      <w:r>
        <w:rPr>
          <w:rFonts w:ascii="Arial" w:hAnsi="Arial" w:eastAsia="宋体" w:cs="Arial"/>
          <w:b/>
          <w:bCs/>
          <w:color w:val="000000"/>
          <w:kern w:val="0"/>
          <w:sz w:val="27"/>
        </w:rPr>
        <w:t>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万元。执行数为1</w:t>
      </w:r>
      <w:r>
        <w:rPr>
          <w:rFonts w:hint="eastAsia" w:ascii="Arial" w:hAnsi="Arial" w:eastAsia="宋体" w:cs="Arial"/>
          <w:color w:val="000000"/>
          <w:kern w:val="0"/>
          <w:sz w:val="27"/>
          <w:szCs w:val="27"/>
          <w:lang w:val="en-US" w:eastAsia="zh-CN"/>
        </w:rPr>
        <w:t>7</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85</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w:t>
      </w:r>
      <w:r>
        <w:rPr>
          <w:rFonts w:hint="eastAsia" w:ascii="Arial" w:hAnsi="Arial" w:eastAsia="宋体" w:cs="Arial"/>
          <w:color w:val="000000"/>
          <w:kern w:val="0"/>
          <w:sz w:val="27"/>
          <w:szCs w:val="27"/>
          <w:lang w:eastAsia="zh-CN"/>
        </w:rPr>
        <w:t>土地收储、涉房维稳完成情况</w:t>
      </w:r>
      <w:r>
        <w:rPr>
          <w:rFonts w:ascii="Arial" w:hAnsi="Arial" w:eastAsia="宋体" w:cs="Arial"/>
          <w:color w:val="000000"/>
          <w:kern w:val="0"/>
          <w:sz w:val="27"/>
          <w:szCs w:val="27"/>
        </w:rPr>
        <w:t>，指标值：</w:t>
      </w:r>
      <w:r>
        <w:rPr>
          <w:rFonts w:hint="eastAsia" w:ascii="Arial" w:hAnsi="Arial" w:eastAsia="宋体" w:cs="Arial"/>
          <w:color w:val="000000"/>
          <w:kern w:val="0"/>
          <w:sz w:val="27"/>
          <w:szCs w:val="27"/>
          <w:lang w:val="en-US" w:eastAsia="zh-CN"/>
        </w:rPr>
        <w:t>95%以上</w:t>
      </w:r>
      <w:r>
        <w:rPr>
          <w:rFonts w:ascii="Arial" w:hAnsi="Arial" w:eastAsia="宋体" w:cs="Arial"/>
          <w:color w:val="000000"/>
          <w:kern w:val="0"/>
          <w:sz w:val="27"/>
          <w:szCs w:val="27"/>
        </w:rPr>
        <w:t>；二是</w:t>
      </w:r>
      <w:r>
        <w:rPr>
          <w:rFonts w:hint="eastAsia" w:ascii="Arial" w:hAnsi="Arial" w:eastAsia="宋体" w:cs="Arial"/>
          <w:color w:val="000000"/>
          <w:kern w:val="0"/>
          <w:sz w:val="27"/>
          <w:szCs w:val="27"/>
          <w:lang w:eastAsia="zh-CN"/>
        </w:rPr>
        <w:t>进一步规划我区城市住房格局</w:t>
      </w:r>
      <w:r>
        <w:rPr>
          <w:rFonts w:ascii="Arial" w:hAnsi="Arial" w:eastAsia="宋体" w:cs="Arial"/>
          <w:color w:val="000000"/>
          <w:kern w:val="0"/>
          <w:sz w:val="27"/>
          <w:szCs w:val="27"/>
        </w:rPr>
        <w:t>，总量达70%；三是对规划项目满意率95%以上。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发现的问题及原因：因资金原因，无法全面完成各个项目。</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下一步改进措施：结合以年度实际情况，科学测算相关工作经费预算，进一步提高预算编制的准确性。</w:t>
      </w:r>
    </w:p>
    <w:p w14:paraId="5F65D105">
      <w:pPr>
        <w:widowControl/>
        <w:numPr>
          <w:ilvl w:val="0"/>
          <w:numId w:val="0"/>
        </w:numPr>
        <w:shd w:val="clear" w:color="auto" w:fill="FFFFFF"/>
        <w:spacing w:line="424" w:lineRule="atLeast"/>
        <w:jc w:val="center"/>
        <w:rPr>
          <w:rFonts w:ascii="Arial" w:hAnsi="Arial" w:eastAsia="宋体" w:cs="Arial"/>
          <w:color w:val="000000"/>
          <w:kern w:val="0"/>
          <w:sz w:val="27"/>
          <w:szCs w:val="27"/>
        </w:rPr>
      </w:pPr>
      <w:r>
        <w:rPr>
          <w:rFonts w:hint="eastAsia" w:ascii="Arial" w:hAnsi="Arial" w:eastAsia="宋体" w:cs="Arial"/>
          <w:b/>
          <w:bCs/>
          <w:color w:val="000000"/>
          <w:kern w:val="0"/>
          <w:sz w:val="27"/>
          <w:lang w:eastAsia="zh-CN"/>
        </w:rPr>
        <w:t>区住保局土地收储专项经费自评表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83"/>
        <w:gridCol w:w="1345"/>
        <w:gridCol w:w="949"/>
        <w:gridCol w:w="369"/>
        <w:gridCol w:w="1458"/>
        <w:gridCol w:w="689"/>
        <w:gridCol w:w="629"/>
        <w:gridCol w:w="884"/>
      </w:tblGrid>
      <w:tr w14:paraId="7708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503" w:type="dxa"/>
            <w:gridSpan w:val="2"/>
            <w:noWrap w:val="0"/>
            <w:vAlign w:val="top"/>
          </w:tcPr>
          <w:p w14:paraId="4AE7523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4EAD95E">
            <w:pPr>
              <w:jc w:val="center"/>
              <w:rPr>
                <w:rFonts w:hint="eastAsia" w:ascii="Arial"/>
                <w:sz w:val="21"/>
                <w:lang w:eastAsia="zh-CN"/>
              </w:rPr>
            </w:pPr>
          </w:p>
          <w:p w14:paraId="0695B963">
            <w:pPr>
              <w:ind w:firstLine="1680" w:firstLineChars="800"/>
              <w:jc w:val="both"/>
              <w:rPr>
                <w:rFonts w:hint="eastAsia" w:ascii="Arial" w:eastAsia="宋体"/>
                <w:sz w:val="21"/>
                <w:lang w:eastAsia="zh-CN"/>
              </w:rPr>
            </w:pPr>
            <w:r>
              <w:rPr>
                <w:rFonts w:hint="eastAsia" w:ascii="Arial"/>
                <w:sz w:val="21"/>
                <w:lang w:eastAsia="zh-CN"/>
              </w:rPr>
              <w:t>区住保局土地收储专项经费</w:t>
            </w:r>
          </w:p>
        </w:tc>
      </w:tr>
      <w:tr w14:paraId="783CD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03" w:type="dxa"/>
            <w:gridSpan w:val="2"/>
            <w:noWrap w:val="0"/>
            <w:vAlign w:val="top"/>
          </w:tcPr>
          <w:p w14:paraId="2A2A993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6989946B">
            <w:pPr>
              <w:rPr>
                <w:rFonts w:ascii="Arial"/>
                <w:sz w:val="21"/>
              </w:rPr>
            </w:pPr>
            <w:r>
              <w:rPr>
                <w:rFonts w:hint="eastAsia" w:ascii="Arial"/>
                <w:sz w:val="21"/>
              </w:rPr>
              <w:t>黄石市下陆区住房保障局</w:t>
            </w:r>
          </w:p>
        </w:tc>
        <w:tc>
          <w:tcPr>
            <w:tcW w:w="2516" w:type="dxa"/>
            <w:gridSpan w:val="3"/>
            <w:noWrap w:val="0"/>
            <w:vAlign w:val="top"/>
          </w:tcPr>
          <w:p w14:paraId="3B523D5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685D2C">
            <w:pPr>
              <w:rPr>
                <w:rFonts w:ascii="Arial"/>
                <w:sz w:val="21"/>
              </w:rPr>
            </w:pPr>
            <w:r>
              <w:rPr>
                <w:rFonts w:hint="eastAsia" w:ascii="Arial"/>
                <w:sz w:val="21"/>
              </w:rPr>
              <w:t>黄石市下陆区住房保障局</w:t>
            </w:r>
          </w:p>
        </w:tc>
      </w:tr>
      <w:tr w14:paraId="78592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0E1820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398161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AFB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95776FA">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07B9FF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D4F9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E64240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0A5108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FE3A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03" w:type="dxa"/>
            <w:gridSpan w:val="2"/>
            <w:vMerge w:val="restart"/>
            <w:tcBorders>
              <w:bottom w:val="nil"/>
            </w:tcBorders>
            <w:noWrap w:val="0"/>
            <w:vAlign w:val="top"/>
          </w:tcPr>
          <w:p w14:paraId="5C5C584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1720EF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3A8CE8E">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03" w:type="dxa"/>
            <w:gridSpan w:val="2"/>
            <w:noWrap w:val="0"/>
            <w:vAlign w:val="top"/>
          </w:tcPr>
          <w:p w14:paraId="50E9F772">
            <w:pPr>
              <w:rPr>
                <w:rFonts w:ascii="Arial"/>
                <w:sz w:val="21"/>
              </w:rPr>
            </w:pPr>
          </w:p>
        </w:tc>
        <w:tc>
          <w:tcPr>
            <w:tcW w:w="1345" w:type="dxa"/>
            <w:noWrap w:val="0"/>
            <w:vAlign w:val="top"/>
          </w:tcPr>
          <w:p w14:paraId="1A038E9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E1456B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1B5C4A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54FC8C5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AC41F2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3CD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503" w:type="dxa"/>
            <w:gridSpan w:val="2"/>
            <w:vMerge w:val="continue"/>
            <w:tcBorders>
              <w:top w:val="nil"/>
            </w:tcBorders>
            <w:noWrap w:val="0"/>
            <w:vAlign w:val="top"/>
          </w:tcPr>
          <w:p w14:paraId="0FCBAA95">
            <w:pPr>
              <w:rPr>
                <w:rFonts w:ascii="Arial"/>
                <w:sz w:val="21"/>
              </w:rPr>
            </w:pPr>
          </w:p>
        </w:tc>
        <w:tc>
          <w:tcPr>
            <w:tcW w:w="1103" w:type="dxa"/>
            <w:gridSpan w:val="2"/>
            <w:noWrap w:val="0"/>
            <w:vAlign w:val="top"/>
          </w:tcPr>
          <w:p w14:paraId="2870D616">
            <w:pPr>
              <w:spacing w:before="59" w:line="215" w:lineRule="auto"/>
              <w:ind w:left="112" w:right="108"/>
              <w:rPr>
                <w:rFonts w:ascii="宋体" w:hAnsi="宋体" w:eastAsia="宋体" w:cs="宋体"/>
                <w:sz w:val="21"/>
                <w:szCs w:val="21"/>
              </w:rPr>
            </w:pPr>
            <w:r>
              <w:t>年度财政 资金总额</w:t>
            </w:r>
          </w:p>
        </w:tc>
        <w:tc>
          <w:tcPr>
            <w:tcW w:w="1345" w:type="dxa"/>
            <w:noWrap w:val="0"/>
            <w:vAlign w:val="top"/>
          </w:tcPr>
          <w:p w14:paraId="6135ED11">
            <w:pPr>
              <w:jc w:val="center"/>
              <w:rPr>
                <w:rFonts w:hint="default" w:ascii="Arial" w:eastAsia="宋体"/>
                <w:sz w:val="21"/>
                <w:lang w:val="en-US" w:eastAsia="zh-CN"/>
              </w:rPr>
            </w:pPr>
            <w:r>
              <w:rPr>
                <w:rFonts w:hint="eastAsia" w:ascii="Arial" w:eastAsia="宋体"/>
                <w:sz w:val="21"/>
                <w:lang w:val="en-US" w:eastAsia="zh-CN"/>
              </w:rPr>
              <w:t>20</w:t>
            </w:r>
          </w:p>
        </w:tc>
        <w:tc>
          <w:tcPr>
            <w:tcW w:w="1318" w:type="dxa"/>
            <w:gridSpan w:val="2"/>
            <w:noWrap w:val="0"/>
            <w:vAlign w:val="top"/>
          </w:tcPr>
          <w:p w14:paraId="66F33A92">
            <w:pPr>
              <w:jc w:val="center"/>
              <w:rPr>
                <w:rFonts w:hint="default" w:ascii="Arial" w:eastAsia="宋体"/>
                <w:sz w:val="21"/>
                <w:lang w:val="en-US" w:eastAsia="zh-CN"/>
              </w:rPr>
            </w:pPr>
            <w:r>
              <w:rPr>
                <w:rFonts w:hint="eastAsia" w:ascii="Arial"/>
                <w:sz w:val="21"/>
                <w:lang w:val="en-US" w:eastAsia="zh-CN"/>
              </w:rPr>
              <w:t>17</w:t>
            </w:r>
          </w:p>
        </w:tc>
        <w:tc>
          <w:tcPr>
            <w:tcW w:w="1458" w:type="dxa"/>
            <w:noWrap w:val="0"/>
            <w:vAlign w:val="top"/>
          </w:tcPr>
          <w:p w14:paraId="2A663E04">
            <w:pPr>
              <w:jc w:val="center"/>
              <w:rPr>
                <w:rFonts w:hint="default" w:ascii="Arial" w:eastAsia="宋体"/>
                <w:sz w:val="21"/>
                <w:lang w:val="en-US" w:eastAsia="zh-CN"/>
              </w:rPr>
            </w:pPr>
            <w:r>
              <w:rPr>
                <w:rFonts w:hint="eastAsia" w:ascii="Arial"/>
                <w:sz w:val="21"/>
                <w:lang w:val="en-US" w:eastAsia="zh-CN"/>
              </w:rPr>
              <w:t>85%</w:t>
            </w:r>
          </w:p>
        </w:tc>
        <w:tc>
          <w:tcPr>
            <w:tcW w:w="2202" w:type="dxa"/>
            <w:gridSpan w:val="3"/>
            <w:noWrap w:val="0"/>
            <w:vAlign w:val="top"/>
          </w:tcPr>
          <w:p w14:paraId="04F2AEBD">
            <w:pPr>
              <w:jc w:val="center"/>
              <w:rPr>
                <w:rFonts w:hint="default" w:ascii="Arial" w:eastAsia="宋体"/>
                <w:sz w:val="21"/>
                <w:lang w:val="en-US" w:eastAsia="zh-CN"/>
              </w:rPr>
            </w:pPr>
            <w:r>
              <w:rPr>
                <w:rFonts w:hint="eastAsia" w:ascii="Arial"/>
                <w:sz w:val="21"/>
                <w:lang w:val="en-US" w:eastAsia="zh-CN"/>
              </w:rPr>
              <w:t>18</w:t>
            </w:r>
          </w:p>
        </w:tc>
      </w:tr>
      <w:tr w14:paraId="2E5F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958B9CB">
            <w:pPr>
              <w:spacing w:line="269" w:lineRule="auto"/>
              <w:rPr>
                <w:rFonts w:ascii="Arial"/>
                <w:sz w:val="21"/>
              </w:rPr>
            </w:pPr>
          </w:p>
          <w:p w14:paraId="0C65A4D4">
            <w:pPr>
              <w:spacing w:line="269" w:lineRule="auto"/>
              <w:rPr>
                <w:rFonts w:ascii="Arial"/>
                <w:sz w:val="21"/>
              </w:rPr>
            </w:pPr>
          </w:p>
          <w:p w14:paraId="307EE3C6">
            <w:pPr>
              <w:spacing w:line="269" w:lineRule="auto"/>
              <w:rPr>
                <w:rFonts w:ascii="Arial"/>
                <w:sz w:val="21"/>
              </w:rPr>
            </w:pPr>
          </w:p>
          <w:p w14:paraId="128FFA87">
            <w:pPr>
              <w:spacing w:line="270" w:lineRule="auto"/>
              <w:rPr>
                <w:rFonts w:ascii="Arial"/>
                <w:sz w:val="21"/>
              </w:rPr>
            </w:pPr>
          </w:p>
          <w:p w14:paraId="2D66FCBC">
            <w:pPr>
              <w:spacing w:line="270" w:lineRule="auto"/>
              <w:rPr>
                <w:rFonts w:ascii="Arial"/>
                <w:sz w:val="21"/>
              </w:rPr>
            </w:pPr>
          </w:p>
          <w:p w14:paraId="56E89666">
            <w:pPr>
              <w:spacing w:line="270" w:lineRule="auto"/>
              <w:rPr>
                <w:rFonts w:ascii="Arial"/>
                <w:sz w:val="21"/>
              </w:rPr>
            </w:pPr>
          </w:p>
          <w:p w14:paraId="5454A47C">
            <w:pPr>
              <w:spacing w:line="270" w:lineRule="auto"/>
              <w:rPr>
                <w:rFonts w:ascii="Arial"/>
                <w:sz w:val="21"/>
              </w:rPr>
            </w:pPr>
          </w:p>
          <w:p w14:paraId="0474ECE7">
            <w:pPr>
              <w:jc w:val="center"/>
              <w:rPr>
                <w:b/>
                <w:bCs/>
              </w:rPr>
            </w:pPr>
          </w:p>
          <w:p w14:paraId="67367769">
            <w:pPr>
              <w:jc w:val="center"/>
              <w:rPr>
                <w:b/>
                <w:bCs/>
              </w:rPr>
            </w:pPr>
            <w:r>
              <w:rPr>
                <w:b/>
                <w:bCs/>
              </w:rPr>
              <w:t>年</w:t>
            </w:r>
          </w:p>
          <w:p w14:paraId="17D5EC4E">
            <w:pPr>
              <w:jc w:val="center"/>
              <w:rPr>
                <w:b/>
                <w:bCs/>
              </w:rPr>
            </w:pPr>
            <w:r>
              <w:rPr>
                <w:b/>
                <w:bCs/>
              </w:rPr>
              <w:t>度</w:t>
            </w:r>
          </w:p>
          <w:p w14:paraId="10080E23">
            <w:pPr>
              <w:jc w:val="center"/>
              <w:rPr>
                <w:b/>
                <w:bCs/>
              </w:rPr>
            </w:pPr>
            <w:r>
              <w:rPr>
                <w:b/>
                <w:bCs/>
              </w:rPr>
              <w:t>绩</w:t>
            </w:r>
          </w:p>
          <w:p w14:paraId="18703C9D">
            <w:pPr>
              <w:jc w:val="center"/>
              <w:rPr>
                <w:b/>
                <w:bCs/>
              </w:rPr>
            </w:pPr>
            <w:r>
              <w:rPr>
                <w:b/>
                <w:bCs/>
              </w:rPr>
              <w:t>效</w:t>
            </w:r>
          </w:p>
          <w:p w14:paraId="3D264069">
            <w:pPr>
              <w:jc w:val="center"/>
              <w:rPr>
                <w:b/>
                <w:bCs/>
              </w:rPr>
            </w:pPr>
            <w:r>
              <w:rPr>
                <w:b/>
                <w:bCs/>
              </w:rPr>
              <w:t>目</w:t>
            </w:r>
          </w:p>
          <w:p w14:paraId="167A3102">
            <w:pPr>
              <w:jc w:val="center"/>
              <w:rPr>
                <w:b/>
                <w:bCs/>
              </w:rPr>
            </w:pPr>
            <w:r>
              <w:rPr>
                <w:b/>
                <w:bCs/>
              </w:rPr>
              <w:t>标</w:t>
            </w:r>
          </w:p>
          <w:p w14:paraId="19BB7E83">
            <w:pPr>
              <w:jc w:val="center"/>
              <w:rPr>
                <w:b/>
                <w:bCs/>
              </w:rPr>
            </w:pPr>
            <w:r>
              <w:rPr>
                <w:b/>
                <w:bCs/>
              </w:rPr>
              <w:t>1</w:t>
            </w:r>
          </w:p>
          <w:p w14:paraId="20E5B4E5">
            <w:pPr>
              <w:jc w:val="center"/>
              <w:rPr>
                <w:rFonts w:ascii="宋体" w:hAnsi="宋体" w:eastAsia="宋体" w:cs="宋体"/>
                <w:sz w:val="22"/>
                <w:szCs w:val="22"/>
              </w:rPr>
            </w:pPr>
            <w:r>
              <w:rPr>
                <w:b/>
                <w:bCs/>
              </w:rPr>
              <w:t>(XX分 )</w:t>
            </w:r>
          </w:p>
        </w:tc>
        <w:tc>
          <w:tcPr>
            <w:tcW w:w="689" w:type="dxa"/>
            <w:noWrap w:val="0"/>
            <w:vAlign w:val="top"/>
          </w:tcPr>
          <w:p w14:paraId="62DC8A1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03" w:type="dxa"/>
            <w:gridSpan w:val="2"/>
            <w:noWrap w:val="0"/>
            <w:vAlign w:val="top"/>
          </w:tcPr>
          <w:p w14:paraId="2D3664EF">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63" w:type="dxa"/>
            <w:gridSpan w:val="3"/>
            <w:noWrap w:val="0"/>
            <w:vAlign w:val="top"/>
          </w:tcPr>
          <w:p w14:paraId="471CC5D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719DF1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154A77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A8D939C">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376D6F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8612C8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9A4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14" w:type="dxa"/>
            <w:vMerge w:val="continue"/>
            <w:tcBorders>
              <w:top w:val="nil"/>
              <w:bottom w:val="nil"/>
            </w:tcBorders>
            <w:noWrap w:val="0"/>
            <w:vAlign w:val="top"/>
          </w:tcPr>
          <w:p w14:paraId="7D35C93B">
            <w:pPr>
              <w:rPr>
                <w:rFonts w:ascii="Arial"/>
                <w:sz w:val="21"/>
              </w:rPr>
            </w:pPr>
          </w:p>
        </w:tc>
        <w:tc>
          <w:tcPr>
            <w:tcW w:w="689" w:type="dxa"/>
            <w:vMerge w:val="restart"/>
            <w:tcBorders>
              <w:bottom w:val="nil"/>
            </w:tcBorders>
            <w:noWrap w:val="0"/>
            <w:vAlign w:val="top"/>
          </w:tcPr>
          <w:p w14:paraId="75C1A2DB">
            <w:pPr>
              <w:rPr>
                <w:b/>
                <w:bCs/>
              </w:rPr>
            </w:pPr>
          </w:p>
          <w:p w14:paraId="4389D3EA">
            <w:pPr>
              <w:rPr>
                <w:b/>
                <w:bCs/>
              </w:rPr>
            </w:pPr>
          </w:p>
          <w:p w14:paraId="5B2D3685">
            <w:pPr>
              <w:rPr>
                <w:b/>
                <w:bCs/>
              </w:rPr>
            </w:pPr>
          </w:p>
          <w:p w14:paraId="11953EA8">
            <w:pPr>
              <w:jc w:val="center"/>
              <w:rPr>
                <w:b/>
                <w:bCs/>
              </w:rPr>
            </w:pPr>
            <w:r>
              <w:rPr>
                <w:b/>
                <w:bCs/>
              </w:rPr>
              <w:t>产出</w:t>
            </w:r>
          </w:p>
          <w:p w14:paraId="0F921009">
            <w:pPr>
              <w:jc w:val="center"/>
              <w:rPr>
                <w:rFonts w:hint="eastAsia" w:eastAsia="宋体"/>
                <w:b/>
                <w:bCs/>
                <w:lang w:val="en-US" w:eastAsia="zh-CN"/>
              </w:rPr>
            </w:pPr>
            <w:r>
              <w:rPr>
                <w:rFonts w:hint="eastAsia"/>
                <w:b/>
                <w:bCs/>
                <w:lang w:val="en-US" w:eastAsia="zh-CN"/>
              </w:rPr>
              <w:t>指标</w:t>
            </w:r>
          </w:p>
        </w:tc>
        <w:tc>
          <w:tcPr>
            <w:tcW w:w="1103" w:type="dxa"/>
            <w:gridSpan w:val="2"/>
            <w:noWrap w:val="0"/>
            <w:vAlign w:val="top"/>
          </w:tcPr>
          <w:p w14:paraId="2BD5832C">
            <w:pPr>
              <w:ind w:firstLine="210" w:firstLineChars="100"/>
              <w:rPr>
                <w:rFonts w:hint="eastAsia" w:ascii="Arial"/>
                <w:sz w:val="21"/>
                <w:lang w:eastAsia="zh-CN"/>
              </w:rPr>
            </w:pPr>
          </w:p>
          <w:p w14:paraId="28A747AA">
            <w:pPr>
              <w:rPr>
                <w:rFonts w:hint="eastAsia" w:ascii="Arial" w:eastAsia="宋体"/>
                <w:sz w:val="21"/>
                <w:lang w:eastAsia="zh-CN"/>
              </w:rPr>
            </w:pPr>
            <w:r>
              <w:rPr>
                <w:rFonts w:hint="eastAsia" w:ascii="Arial"/>
                <w:sz w:val="21"/>
                <w:lang w:eastAsia="zh-CN"/>
              </w:rPr>
              <w:t>质量指标</w:t>
            </w:r>
          </w:p>
        </w:tc>
        <w:tc>
          <w:tcPr>
            <w:tcW w:w="2663" w:type="dxa"/>
            <w:gridSpan w:val="3"/>
            <w:noWrap w:val="0"/>
            <w:vAlign w:val="top"/>
          </w:tcPr>
          <w:p w14:paraId="14DA0789">
            <w:pPr>
              <w:rPr>
                <w:rFonts w:ascii="Arial"/>
                <w:sz w:val="21"/>
              </w:rPr>
            </w:pPr>
            <w:r>
              <w:rPr>
                <w:rFonts w:hint="eastAsia" w:ascii="Arial"/>
                <w:sz w:val="21"/>
                <w:lang w:eastAsia="zh-CN"/>
              </w:rPr>
              <w:t>土地收储、涉房维稳完成情况</w:t>
            </w:r>
          </w:p>
        </w:tc>
        <w:tc>
          <w:tcPr>
            <w:tcW w:w="1458" w:type="dxa"/>
            <w:noWrap w:val="0"/>
            <w:vAlign w:val="top"/>
          </w:tcPr>
          <w:p w14:paraId="2C70E28C">
            <w:pPr>
              <w:jc w:val="center"/>
              <w:rPr>
                <w:rFonts w:ascii="Arial"/>
                <w:sz w:val="21"/>
              </w:rPr>
            </w:pPr>
            <w:r>
              <w:rPr>
                <w:rFonts w:hint="eastAsia" w:ascii="Arial"/>
                <w:sz w:val="21"/>
                <w:lang w:val="en-US" w:eastAsia="zh-CN"/>
              </w:rPr>
              <w:t>90%以上</w:t>
            </w:r>
          </w:p>
        </w:tc>
        <w:tc>
          <w:tcPr>
            <w:tcW w:w="1318" w:type="dxa"/>
            <w:gridSpan w:val="2"/>
            <w:noWrap w:val="0"/>
            <w:vAlign w:val="top"/>
          </w:tcPr>
          <w:p w14:paraId="1334D827">
            <w:pPr>
              <w:ind w:firstLine="210" w:firstLineChars="100"/>
              <w:rPr>
                <w:rFonts w:hint="default" w:ascii="Arial" w:eastAsia="宋体"/>
                <w:sz w:val="21"/>
                <w:lang w:val="en-US" w:eastAsia="zh-CN"/>
              </w:rPr>
            </w:pPr>
            <w:r>
              <w:rPr>
                <w:rFonts w:hint="eastAsia" w:ascii="Arial"/>
                <w:sz w:val="21"/>
                <w:lang w:val="en-US" w:eastAsia="zh-CN"/>
              </w:rPr>
              <w:t>92%</w:t>
            </w:r>
          </w:p>
        </w:tc>
        <w:tc>
          <w:tcPr>
            <w:tcW w:w="884" w:type="dxa"/>
            <w:noWrap w:val="0"/>
            <w:vAlign w:val="top"/>
          </w:tcPr>
          <w:p w14:paraId="55A4A127">
            <w:pPr>
              <w:ind w:firstLine="210" w:firstLineChars="100"/>
              <w:rPr>
                <w:rFonts w:hint="default" w:ascii="Arial" w:eastAsia="宋体"/>
                <w:sz w:val="21"/>
                <w:lang w:val="en-US" w:eastAsia="zh-CN"/>
              </w:rPr>
            </w:pPr>
            <w:r>
              <w:rPr>
                <w:rFonts w:hint="eastAsia" w:ascii="Arial"/>
                <w:sz w:val="21"/>
                <w:lang w:val="en-US" w:eastAsia="zh-CN"/>
              </w:rPr>
              <w:t>36</w:t>
            </w:r>
          </w:p>
        </w:tc>
      </w:tr>
      <w:tr w14:paraId="33F5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14" w:type="dxa"/>
            <w:vMerge w:val="continue"/>
            <w:tcBorders>
              <w:top w:val="nil"/>
              <w:bottom w:val="nil"/>
            </w:tcBorders>
            <w:noWrap w:val="0"/>
            <w:vAlign w:val="top"/>
          </w:tcPr>
          <w:p w14:paraId="0DE64201">
            <w:pPr>
              <w:rPr>
                <w:rFonts w:ascii="Arial"/>
                <w:sz w:val="21"/>
              </w:rPr>
            </w:pPr>
          </w:p>
        </w:tc>
        <w:tc>
          <w:tcPr>
            <w:tcW w:w="689" w:type="dxa"/>
            <w:vMerge w:val="continue"/>
            <w:tcBorders>
              <w:top w:val="nil"/>
              <w:bottom w:val="nil"/>
            </w:tcBorders>
            <w:noWrap w:val="0"/>
            <w:vAlign w:val="top"/>
          </w:tcPr>
          <w:p w14:paraId="3382ABAC">
            <w:pPr>
              <w:rPr>
                <w:b/>
                <w:bCs/>
              </w:rPr>
            </w:pPr>
          </w:p>
        </w:tc>
        <w:tc>
          <w:tcPr>
            <w:tcW w:w="1103" w:type="dxa"/>
            <w:gridSpan w:val="2"/>
            <w:noWrap w:val="0"/>
            <w:vAlign w:val="top"/>
          </w:tcPr>
          <w:p w14:paraId="2CE76024">
            <w:pPr>
              <w:rPr>
                <w:rFonts w:ascii="Arial"/>
                <w:sz w:val="21"/>
              </w:rPr>
            </w:pPr>
          </w:p>
        </w:tc>
        <w:tc>
          <w:tcPr>
            <w:tcW w:w="2663" w:type="dxa"/>
            <w:gridSpan w:val="3"/>
            <w:noWrap w:val="0"/>
            <w:vAlign w:val="top"/>
          </w:tcPr>
          <w:p w14:paraId="22556E07">
            <w:pPr>
              <w:rPr>
                <w:rFonts w:ascii="Arial"/>
                <w:sz w:val="21"/>
              </w:rPr>
            </w:pPr>
          </w:p>
        </w:tc>
        <w:tc>
          <w:tcPr>
            <w:tcW w:w="1458" w:type="dxa"/>
            <w:noWrap w:val="0"/>
            <w:vAlign w:val="top"/>
          </w:tcPr>
          <w:p w14:paraId="33CDD4A4">
            <w:pPr>
              <w:rPr>
                <w:rFonts w:ascii="Arial"/>
                <w:sz w:val="21"/>
              </w:rPr>
            </w:pPr>
          </w:p>
        </w:tc>
        <w:tc>
          <w:tcPr>
            <w:tcW w:w="1318" w:type="dxa"/>
            <w:gridSpan w:val="2"/>
            <w:noWrap w:val="0"/>
            <w:vAlign w:val="top"/>
          </w:tcPr>
          <w:p w14:paraId="65C358A1">
            <w:pPr>
              <w:rPr>
                <w:rFonts w:ascii="Arial"/>
                <w:sz w:val="21"/>
              </w:rPr>
            </w:pPr>
          </w:p>
        </w:tc>
        <w:tc>
          <w:tcPr>
            <w:tcW w:w="884" w:type="dxa"/>
            <w:noWrap w:val="0"/>
            <w:vAlign w:val="top"/>
          </w:tcPr>
          <w:p w14:paraId="1254F7AA">
            <w:pPr>
              <w:rPr>
                <w:rFonts w:ascii="Arial"/>
                <w:sz w:val="21"/>
              </w:rPr>
            </w:pPr>
          </w:p>
        </w:tc>
      </w:tr>
      <w:tr w14:paraId="2FE2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14" w:type="dxa"/>
            <w:vMerge w:val="continue"/>
            <w:tcBorders>
              <w:top w:val="nil"/>
              <w:bottom w:val="nil"/>
            </w:tcBorders>
            <w:noWrap w:val="0"/>
            <w:vAlign w:val="top"/>
          </w:tcPr>
          <w:p w14:paraId="0C3ED11E">
            <w:pPr>
              <w:rPr>
                <w:rFonts w:ascii="Arial"/>
                <w:sz w:val="21"/>
              </w:rPr>
            </w:pPr>
          </w:p>
        </w:tc>
        <w:tc>
          <w:tcPr>
            <w:tcW w:w="689" w:type="dxa"/>
            <w:vMerge w:val="continue"/>
            <w:tcBorders>
              <w:top w:val="nil"/>
              <w:bottom w:val="nil"/>
            </w:tcBorders>
            <w:noWrap w:val="0"/>
            <w:vAlign w:val="top"/>
          </w:tcPr>
          <w:p w14:paraId="41B985E2">
            <w:pPr>
              <w:rPr>
                <w:b/>
                <w:bCs/>
              </w:rPr>
            </w:pPr>
          </w:p>
        </w:tc>
        <w:tc>
          <w:tcPr>
            <w:tcW w:w="1103" w:type="dxa"/>
            <w:gridSpan w:val="2"/>
            <w:noWrap w:val="0"/>
            <w:vAlign w:val="top"/>
          </w:tcPr>
          <w:p w14:paraId="02833611">
            <w:pPr>
              <w:spacing w:before="220" w:line="173" w:lineRule="exact"/>
              <w:ind w:left="382"/>
              <w:rPr>
                <w:rFonts w:ascii="宋体" w:hAnsi="宋体" w:eastAsia="宋体" w:cs="宋体"/>
                <w:sz w:val="11"/>
                <w:szCs w:val="11"/>
              </w:rPr>
            </w:pPr>
          </w:p>
        </w:tc>
        <w:tc>
          <w:tcPr>
            <w:tcW w:w="2663" w:type="dxa"/>
            <w:gridSpan w:val="3"/>
            <w:noWrap w:val="0"/>
            <w:vAlign w:val="top"/>
          </w:tcPr>
          <w:p w14:paraId="1CB6F80B">
            <w:pPr>
              <w:rPr>
                <w:rFonts w:ascii="Arial"/>
                <w:sz w:val="21"/>
              </w:rPr>
            </w:pPr>
          </w:p>
        </w:tc>
        <w:tc>
          <w:tcPr>
            <w:tcW w:w="1458" w:type="dxa"/>
            <w:noWrap w:val="0"/>
            <w:vAlign w:val="top"/>
          </w:tcPr>
          <w:p w14:paraId="59F40BBB">
            <w:pPr>
              <w:rPr>
                <w:rFonts w:ascii="Arial"/>
                <w:sz w:val="21"/>
              </w:rPr>
            </w:pPr>
          </w:p>
        </w:tc>
        <w:tc>
          <w:tcPr>
            <w:tcW w:w="1318" w:type="dxa"/>
            <w:gridSpan w:val="2"/>
            <w:noWrap w:val="0"/>
            <w:vAlign w:val="top"/>
          </w:tcPr>
          <w:p w14:paraId="3944D679">
            <w:pPr>
              <w:rPr>
                <w:rFonts w:ascii="Arial"/>
                <w:sz w:val="21"/>
              </w:rPr>
            </w:pPr>
          </w:p>
        </w:tc>
        <w:tc>
          <w:tcPr>
            <w:tcW w:w="884" w:type="dxa"/>
            <w:noWrap w:val="0"/>
            <w:vAlign w:val="top"/>
          </w:tcPr>
          <w:p w14:paraId="1AAA8A1E">
            <w:pPr>
              <w:rPr>
                <w:rFonts w:ascii="Arial"/>
                <w:sz w:val="21"/>
              </w:rPr>
            </w:pPr>
          </w:p>
        </w:tc>
      </w:tr>
      <w:tr w14:paraId="2BB2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84CE9E9">
            <w:pPr>
              <w:rPr>
                <w:rFonts w:ascii="Arial"/>
                <w:sz w:val="21"/>
              </w:rPr>
            </w:pPr>
          </w:p>
        </w:tc>
        <w:tc>
          <w:tcPr>
            <w:tcW w:w="689" w:type="dxa"/>
            <w:vMerge w:val="continue"/>
            <w:tcBorders>
              <w:top w:val="nil"/>
            </w:tcBorders>
            <w:noWrap w:val="0"/>
            <w:vAlign w:val="top"/>
          </w:tcPr>
          <w:p w14:paraId="7FC6F5C4">
            <w:pPr>
              <w:rPr>
                <w:b/>
                <w:bCs/>
              </w:rPr>
            </w:pPr>
          </w:p>
        </w:tc>
        <w:tc>
          <w:tcPr>
            <w:tcW w:w="1103" w:type="dxa"/>
            <w:gridSpan w:val="2"/>
            <w:noWrap w:val="0"/>
            <w:vAlign w:val="top"/>
          </w:tcPr>
          <w:p w14:paraId="0E8D0ABA">
            <w:pPr>
              <w:spacing w:before="176" w:line="343" w:lineRule="exact"/>
              <w:ind w:left="331"/>
              <w:rPr>
                <w:rFonts w:ascii="宋体" w:hAnsi="宋体" w:eastAsia="宋体" w:cs="宋体"/>
                <w:sz w:val="22"/>
                <w:szCs w:val="22"/>
              </w:rPr>
            </w:pPr>
          </w:p>
        </w:tc>
        <w:tc>
          <w:tcPr>
            <w:tcW w:w="2663" w:type="dxa"/>
            <w:gridSpan w:val="3"/>
            <w:noWrap w:val="0"/>
            <w:vAlign w:val="top"/>
          </w:tcPr>
          <w:p w14:paraId="3EB74BA2">
            <w:pPr>
              <w:rPr>
                <w:rFonts w:ascii="Arial"/>
                <w:sz w:val="21"/>
              </w:rPr>
            </w:pPr>
          </w:p>
        </w:tc>
        <w:tc>
          <w:tcPr>
            <w:tcW w:w="1458" w:type="dxa"/>
            <w:noWrap w:val="0"/>
            <w:vAlign w:val="top"/>
          </w:tcPr>
          <w:p w14:paraId="3E0B8CE4">
            <w:pPr>
              <w:rPr>
                <w:rFonts w:ascii="Arial"/>
                <w:sz w:val="21"/>
              </w:rPr>
            </w:pPr>
          </w:p>
        </w:tc>
        <w:tc>
          <w:tcPr>
            <w:tcW w:w="1318" w:type="dxa"/>
            <w:gridSpan w:val="2"/>
            <w:noWrap w:val="0"/>
            <w:vAlign w:val="top"/>
          </w:tcPr>
          <w:p w14:paraId="6FCD199E">
            <w:pPr>
              <w:rPr>
                <w:rFonts w:ascii="Arial"/>
                <w:sz w:val="21"/>
              </w:rPr>
            </w:pPr>
          </w:p>
        </w:tc>
        <w:tc>
          <w:tcPr>
            <w:tcW w:w="884" w:type="dxa"/>
            <w:noWrap w:val="0"/>
            <w:vAlign w:val="top"/>
          </w:tcPr>
          <w:p w14:paraId="779B2D51">
            <w:pPr>
              <w:rPr>
                <w:rFonts w:ascii="Arial"/>
                <w:sz w:val="21"/>
              </w:rPr>
            </w:pPr>
          </w:p>
        </w:tc>
      </w:tr>
      <w:tr w14:paraId="4F4D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4" w:type="dxa"/>
            <w:vMerge w:val="continue"/>
            <w:tcBorders>
              <w:top w:val="nil"/>
              <w:bottom w:val="nil"/>
            </w:tcBorders>
            <w:noWrap w:val="0"/>
            <w:vAlign w:val="top"/>
          </w:tcPr>
          <w:p w14:paraId="10CBF5E7">
            <w:pPr>
              <w:rPr>
                <w:rFonts w:ascii="Arial"/>
                <w:sz w:val="21"/>
              </w:rPr>
            </w:pPr>
          </w:p>
        </w:tc>
        <w:tc>
          <w:tcPr>
            <w:tcW w:w="689" w:type="dxa"/>
            <w:vMerge w:val="restart"/>
            <w:tcBorders>
              <w:bottom w:val="nil"/>
            </w:tcBorders>
            <w:noWrap w:val="0"/>
            <w:vAlign w:val="top"/>
          </w:tcPr>
          <w:p w14:paraId="3FC33AA5">
            <w:pPr>
              <w:jc w:val="center"/>
              <w:rPr>
                <w:rFonts w:ascii="Calibri" w:hAnsi="Calibri" w:eastAsia="宋体" w:cs="Times New Roman"/>
                <w:b/>
                <w:bCs/>
              </w:rPr>
            </w:pPr>
          </w:p>
          <w:p w14:paraId="7A8FDB95">
            <w:pPr>
              <w:jc w:val="center"/>
              <w:rPr>
                <w:rFonts w:ascii="Calibri" w:hAnsi="Calibri" w:eastAsia="宋体" w:cs="Times New Roman"/>
                <w:b/>
                <w:bCs/>
              </w:rPr>
            </w:pPr>
          </w:p>
          <w:p w14:paraId="3E388A99">
            <w:pPr>
              <w:jc w:val="center"/>
              <w:rPr>
                <w:rFonts w:ascii="Calibri" w:hAnsi="Calibri" w:eastAsia="宋体" w:cs="Times New Roman"/>
                <w:b/>
                <w:bCs/>
              </w:rPr>
            </w:pPr>
          </w:p>
          <w:p w14:paraId="653AC309">
            <w:pPr>
              <w:jc w:val="center"/>
              <w:rPr>
                <w:rFonts w:ascii="Calibri" w:hAnsi="Calibri" w:eastAsia="宋体" w:cs="Times New Roman"/>
                <w:b/>
                <w:bCs/>
              </w:rPr>
            </w:pPr>
            <w:r>
              <w:rPr>
                <w:rFonts w:ascii="Calibri" w:hAnsi="Calibri" w:eastAsia="宋体" w:cs="Times New Roman"/>
                <w:b/>
                <w:bCs/>
              </w:rPr>
              <w:t>效益 指标</w:t>
            </w:r>
          </w:p>
        </w:tc>
        <w:tc>
          <w:tcPr>
            <w:tcW w:w="1103" w:type="dxa"/>
            <w:gridSpan w:val="2"/>
            <w:noWrap w:val="0"/>
            <w:vAlign w:val="top"/>
          </w:tcPr>
          <w:p w14:paraId="7BA15E09">
            <w:pPr>
              <w:spacing w:before="211" w:line="169"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社会效益</w:t>
            </w:r>
          </w:p>
        </w:tc>
        <w:tc>
          <w:tcPr>
            <w:tcW w:w="2663" w:type="dxa"/>
            <w:gridSpan w:val="3"/>
            <w:noWrap w:val="0"/>
            <w:vAlign w:val="top"/>
          </w:tcPr>
          <w:p w14:paraId="34D65E14">
            <w:pPr>
              <w:rPr>
                <w:rFonts w:ascii="Arial"/>
                <w:sz w:val="21"/>
              </w:rPr>
            </w:pPr>
            <w:r>
              <w:rPr>
                <w:rFonts w:hint="eastAsia" w:ascii="Arial"/>
                <w:sz w:val="21"/>
                <w:lang w:eastAsia="zh-CN"/>
              </w:rPr>
              <w:t>进一步规划我区城市住房格局</w:t>
            </w:r>
          </w:p>
        </w:tc>
        <w:tc>
          <w:tcPr>
            <w:tcW w:w="1458" w:type="dxa"/>
            <w:noWrap w:val="0"/>
            <w:vAlign w:val="top"/>
          </w:tcPr>
          <w:p w14:paraId="375E7607">
            <w:pPr>
              <w:rPr>
                <w:rFonts w:ascii="Arial"/>
                <w:sz w:val="21"/>
              </w:rPr>
            </w:pPr>
            <w:r>
              <w:rPr>
                <w:rFonts w:hint="eastAsia" w:ascii="Arial"/>
                <w:sz w:val="21"/>
                <w:lang w:eastAsia="zh-CN"/>
              </w:rPr>
              <w:t>群众生活质量提高</w:t>
            </w:r>
          </w:p>
        </w:tc>
        <w:tc>
          <w:tcPr>
            <w:tcW w:w="1318" w:type="dxa"/>
            <w:gridSpan w:val="2"/>
            <w:noWrap w:val="0"/>
            <w:vAlign w:val="top"/>
          </w:tcPr>
          <w:p w14:paraId="2C2C3602">
            <w:pPr>
              <w:rPr>
                <w:rFonts w:ascii="Arial"/>
                <w:sz w:val="21"/>
              </w:rPr>
            </w:pPr>
            <w:r>
              <w:rPr>
                <w:rFonts w:hint="eastAsia" w:ascii="Arial"/>
                <w:sz w:val="21"/>
                <w:lang w:eastAsia="zh-CN"/>
              </w:rPr>
              <w:t>群众生活质量提高</w:t>
            </w:r>
          </w:p>
        </w:tc>
        <w:tc>
          <w:tcPr>
            <w:tcW w:w="884" w:type="dxa"/>
            <w:noWrap w:val="0"/>
            <w:vAlign w:val="top"/>
          </w:tcPr>
          <w:p w14:paraId="0FCDFF2F">
            <w:pPr>
              <w:ind w:firstLine="210" w:firstLineChars="100"/>
              <w:rPr>
                <w:rFonts w:hint="default" w:ascii="Arial" w:eastAsia="宋体"/>
                <w:sz w:val="21"/>
                <w:lang w:val="en-US" w:eastAsia="zh-CN"/>
              </w:rPr>
            </w:pPr>
            <w:r>
              <w:rPr>
                <w:rFonts w:hint="eastAsia" w:ascii="Arial"/>
                <w:sz w:val="21"/>
                <w:lang w:val="en-US" w:eastAsia="zh-CN"/>
              </w:rPr>
              <w:t>28</w:t>
            </w:r>
          </w:p>
        </w:tc>
      </w:tr>
      <w:tr w14:paraId="1C72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4" w:type="dxa"/>
            <w:vMerge w:val="continue"/>
            <w:tcBorders>
              <w:top w:val="nil"/>
              <w:bottom w:val="nil"/>
            </w:tcBorders>
            <w:noWrap w:val="0"/>
            <w:vAlign w:val="top"/>
          </w:tcPr>
          <w:p w14:paraId="798908A6">
            <w:pPr>
              <w:rPr>
                <w:rFonts w:ascii="Arial"/>
                <w:sz w:val="21"/>
              </w:rPr>
            </w:pPr>
          </w:p>
        </w:tc>
        <w:tc>
          <w:tcPr>
            <w:tcW w:w="689" w:type="dxa"/>
            <w:vMerge w:val="continue"/>
            <w:tcBorders>
              <w:top w:val="nil"/>
              <w:bottom w:val="nil"/>
            </w:tcBorders>
            <w:noWrap w:val="0"/>
            <w:vAlign w:val="top"/>
          </w:tcPr>
          <w:p w14:paraId="2E16B6DC">
            <w:pPr>
              <w:jc w:val="center"/>
              <w:rPr>
                <w:rFonts w:ascii="Calibri" w:hAnsi="Calibri" w:eastAsia="宋体" w:cs="Times New Roman"/>
                <w:b/>
                <w:bCs/>
              </w:rPr>
            </w:pPr>
          </w:p>
        </w:tc>
        <w:tc>
          <w:tcPr>
            <w:tcW w:w="1103" w:type="dxa"/>
            <w:gridSpan w:val="2"/>
            <w:noWrap w:val="0"/>
            <w:vAlign w:val="top"/>
          </w:tcPr>
          <w:p w14:paraId="40C7CF3A">
            <w:pPr>
              <w:spacing w:before="177" w:line="342" w:lineRule="exact"/>
              <w:ind w:left="331"/>
              <w:rPr>
                <w:rFonts w:ascii="宋体" w:hAnsi="宋体" w:eastAsia="宋体" w:cs="宋体"/>
                <w:sz w:val="22"/>
                <w:szCs w:val="22"/>
              </w:rPr>
            </w:pPr>
          </w:p>
        </w:tc>
        <w:tc>
          <w:tcPr>
            <w:tcW w:w="2663" w:type="dxa"/>
            <w:gridSpan w:val="3"/>
            <w:noWrap w:val="0"/>
            <w:vAlign w:val="top"/>
          </w:tcPr>
          <w:p w14:paraId="5514F6DA">
            <w:pPr>
              <w:rPr>
                <w:rFonts w:ascii="Arial"/>
                <w:sz w:val="21"/>
              </w:rPr>
            </w:pPr>
          </w:p>
        </w:tc>
        <w:tc>
          <w:tcPr>
            <w:tcW w:w="1458" w:type="dxa"/>
            <w:noWrap w:val="0"/>
            <w:vAlign w:val="top"/>
          </w:tcPr>
          <w:p w14:paraId="6D311307">
            <w:pPr>
              <w:rPr>
                <w:rFonts w:ascii="Arial"/>
                <w:sz w:val="21"/>
              </w:rPr>
            </w:pPr>
          </w:p>
        </w:tc>
        <w:tc>
          <w:tcPr>
            <w:tcW w:w="1318" w:type="dxa"/>
            <w:gridSpan w:val="2"/>
            <w:noWrap w:val="0"/>
            <w:vAlign w:val="top"/>
          </w:tcPr>
          <w:p w14:paraId="4C49A8CC">
            <w:pPr>
              <w:rPr>
                <w:rFonts w:ascii="Arial"/>
                <w:sz w:val="21"/>
              </w:rPr>
            </w:pPr>
          </w:p>
        </w:tc>
        <w:tc>
          <w:tcPr>
            <w:tcW w:w="884" w:type="dxa"/>
            <w:noWrap w:val="0"/>
            <w:vAlign w:val="top"/>
          </w:tcPr>
          <w:p w14:paraId="18CAEE9F">
            <w:pPr>
              <w:rPr>
                <w:rFonts w:ascii="Arial"/>
                <w:sz w:val="21"/>
              </w:rPr>
            </w:pPr>
          </w:p>
        </w:tc>
      </w:tr>
      <w:tr w14:paraId="457A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4" w:type="dxa"/>
            <w:vMerge w:val="continue"/>
            <w:tcBorders>
              <w:top w:val="nil"/>
              <w:bottom w:val="nil"/>
            </w:tcBorders>
            <w:noWrap w:val="0"/>
            <w:vAlign w:val="top"/>
          </w:tcPr>
          <w:p w14:paraId="2AF6E742">
            <w:pPr>
              <w:rPr>
                <w:rFonts w:ascii="Arial"/>
                <w:sz w:val="21"/>
              </w:rPr>
            </w:pPr>
          </w:p>
        </w:tc>
        <w:tc>
          <w:tcPr>
            <w:tcW w:w="689" w:type="dxa"/>
            <w:vMerge w:val="continue"/>
            <w:tcBorders>
              <w:top w:val="nil"/>
              <w:bottom w:val="nil"/>
            </w:tcBorders>
            <w:noWrap w:val="0"/>
            <w:vAlign w:val="top"/>
          </w:tcPr>
          <w:p w14:paraId="4A1F1844">
            <w:pPr>
              <w:jc w:val="center"/>
              <w:rPr>
                <w:rFonts w:ascii="Calibri" w:hAnsi="Calibri" w:eastAsia="宋体" w:cs="Times New Roman"/>
                <w:b/>
                <w:bCs/>
              </w:rPr>
            </w:pPr>
          </w:p>
        </w:tc>
        <w:tc>
          <w:tcPr>
            <w:tcW w:w="1103" w:type="dxa"/>
            <w:gridSpan w:val="2"/>
            <w:noWrap w:val="0"/>
            <w:vAlign w:val="top"/>
          </w:tcPr>
          <w:p w14:paraId="7C6BB49C">
            <w:pPr>
              <w:spacing w:before="178" w:line="340" w:lineRule="exact"/>
              <w:ind w:left="331"/>
              <w:rPr>
                <w:rFonts w:ascii="宋体" w:hAnsi="宋体" w:eastAsia="宋体" w:cs="宋体"/>
                <w:sz w:val="22"/>
                <w:szCs w:val="22"/>
              </w:rPr>
            </w:pPr>
          </w:p>
        </w:tc>
        <w:tc>
          <w:tcPr>
            <w:tcW w:w="2663" w:type="dxa"/>
            <w:gridSpan w:val="3"/>
            <w:noWrap w:val="0"/>
            <w:vAlign w:val="top"/>
          </w:tcPr>
          <w:p w14:paraId="7102FBEC">
            <w:pPr>
              <w:rPr>
                <w:rFonts w:ascii="Arial"/>
                <w:sz w:val="21"/>
              </w:rPr>
            </w:pPr>
          </w:p>
        </w:tc>
        <w:tc>
          <w:tcPr>
            <w:tcW w:w="1458" w:type="dxa"/>
            <w:noWrap w:val="0"/>
            <w:vAlign w:val="top"/>
          </w:tcPr>
          <w:p w14:paraId="55DF88D5">
            <w:pPr>
              <w:rPr>
                <w:rFonts w:ascii="Arial"/>
                <w:sz w:val="21"/>
              </w:rPr>
            </w:pPr>
          </w:p>
        </w:tc>
        <w:tc>
          <w:tcPr>
            <w:tcW w:w="1318" w:type="dxa"/>
            <w:gridSpan w:val="2"/>
            <w:noWrap w:val="0"/>
            <w:vAlign w:val="top"/>
          </w:tcPr>
          <w:p w14:paraId="1EF51D63">
            <w:pPr>
              <w:rPr>
                <w:rFonts w:ascii="Arial"/>
                <w:sz w:val="21"/>
              </w:rPr>
            </w:pPr>
          </w:p>
        </w:tc>
        <w:tc>
          <w:tcPr>
            <w:tcW w:w="884" w:type="dxa"/>
            <w:noWrap w:val="0"/>
            <w:vAlign w:val="top"/>
          </w:tcPr>
          <w:p w14:paraId="3E3E9387">
            <w:pPr>
              <w:rPr>
                <w:rFonts w:ascii="Arial"/>
                <w:sz w:val="21"/>
              </w:rPr>
            </w:pPr>
          </w:p>
        </w:tc>
      </w:tr>
      <w:tr w14:paraId="62E6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14" w:type="dxa"/>
            <w:vMerge w:val="continue"/>
            <w:tcBorders>
              <w:top w:val="nil"/>
              <w:bottom w:val="nil"/>
            </w:tcBorders>
            <w:noWrap w:val="0"/>
            <w:vAlign w:val="top"/>
          </w:tcPr>
          <w:p w14:paraId="5C446132">
            <w:pPr>
              <w:rPr>
                <w:rFonts w:ascii="Arial"/>
                <w:sz w:val="21"/>
              </w:rPr>
            </w:pPr>
          </w:p>
        </w:tc>
        <w:tc>
          <w:tcPr>
            <w:tcW w:w="689" w:type="dxa"/>
            <w:vMerge w:val="continue"/>
            <w:tcBorders>
              <w:top w:val="nil"/>
            </w:tcBorders>
            <w:noWrap w:val="0"/>
            <w:vAlign w:val="top"/>
          </w:tcPr>
          <w:p w14:paraId="7E36CE2D">
            <w:pPr>
              <w:jc w:val="center"/>
              <w:rPr>
                <w:rFonts w:ascii="Calibri" w:hAnsi="Calibri" w:eastAsia="宋体" w:cs="Times New Roman"/>
                <w:b/>
                <w:bCs/>
              </w:rPr>
            </w:pPr>
          </w:p>
        </w:tc>
        <w:tc>
          <w:tcPr>
            <w:tcW w:w="1103" w:type="dxa"/>
            <w:gridSpan w:val="2"/>
            <w:noWrap w:val="0"/>
            <w:vAlign w:val="top"/>
          </w:tcPr>
          <w:p w14:paraId="3CF2C67F">
            <w:pPr>
              <w:rPr>
                <w:rFonts w:ascii="Arial"/>
                <w:sz w:val="21"/>
              </w:rPr>
            </w:pPr>
          </w:p>
        </w:tc>
        <w:tc>
          <w:tcPr>
            <w:tcW w:w="2663" w:type="dxa"/>
            <w:gridSpan w:val="3"/>
            <w:noWrap w:val="0"/>
            <w:vAlign w:val="top"/>
          </w:tcPr>
          <w:p w14:paraId="56305B99">
            <w:pPr>
              <w:rPr>
                <w:rFonts w:ascii="Arial"/>
                <w:sz w:val="21"/>
              </w:rPr>
            </w:pPr>
          </w:p>
        </w:tc>
        <w:tc>
          <w:tcPr>
            <w:tcW w:w="1458" w:type="dxa"/>
            <w:noWrap w:val="0"/>
            <w:vAlign w:val="top"/>
          </w:tcPr>
          <w:p w14:paraId="3C3CEB76">
            <w:pPr>
              <w:rPr>
                <w:rFonts w:ascii="Arial"/>
                <w:sz w:val="21"/>
              </w:rPr>
            </w:pPr>
          </w:p>
        </w:tc>
        <w:tc>
          <w:tcPr>
            <w:tcW w:w="1318" w:type="dxa"/>
            <w:gridSpan w:val="2"/>
            <w:noWrap w:val="0"/>
            <w:vAlign w:val="top"/>
          </w:tcPr>
          <w:p w14:paraId="2AB3EA5D">
            <w:pPr>
              <w:rPr>
                <w:rFonts w:ascii="Arial"/>
                <w:sz w:val="21"/>
              </w:rPr>
            </w:pPr>
          </w:p>
        </w:tc>
        <w:tc>
          <w:tcPr>
            <w:tcW w:w="884" w:type="dxa"/>
            <w:noWrap w:val="0"/>
            <w:vAlign w:val="top"/>
          </w:tcPr>
          <w:p w14:paraId="27346582">
            <w:pPr>
              <w:rPr>
                <w:rFonts w:ascii="Arial"/>
                <w:sz w:val="21"/>
              </w:rPr>
            </w:pPr>
          </w:p>
        </w:tc>
      </w:tr>
      <w:tr w14:paraId="4B8B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814" w:type="dxa"/>
            <w:vMerge w:val="continue"/>
            <w:tcBorders>
              <w:top w:val="nil"/>
              <w:bottom w:val="nil"/>
            </w:tcBorders>
            <w:noWrap w:val="0"/>
            <w:vAlign w:val="top"/>
          </w:tcPr>
          <w:p w14:paraId="11C4BB75">
            <w:pPr>
              <w:rPr>
                <w:rFonts w:ascii="Arial"/>
                <w:sz w:val="21"/>
              </w:rPr>
            </w:pPr>
          </w:p>
        </w:tc>
        <w:tc>
          <w:tcPr>
            <w:tcW w:w="689" w:type="dxa"/>
            <w:vMerge w:val="restart"/>
            <w:tcBorders>
              <w:bottom w:val="nil"/>
            </w:tcBorders>
            <w:noWrap w:val="0"/>
            <w:vAlign w:val="top"/>
          </w:tcPr>
          <w:p w14:paraId="668ACEBB">
            <w:pPr>
              <w:jc w:val="center"/>
              <w:rPr>
                <w:rFonts w:ascii="Calibri" w:hAnsi="Calibri" w:eastAsia="宋体" w:cs="Times New Roman"/>
                <w:b/>
                <w:bCs/>
              </w:rPr>
            </w:pPr>
            <w:r>
              <w:rPr>
                <w:rFonts w:ascii="Calibri" w:hAnsi="Calibri" w:eastAsia="宋体" w:cs="Times New Roman"/>
                <w:b/>
                <w:bCs/>
              </w:rPr>
              <w:t>满意</w:t>
            </w:r>
          </w:p>
          <w:p w14:paraId="77BA1F58">
            <w:pPr>
              <w:jc w:val="center"/>
              <w:rPr>
                <w:rFonts w:ascii="Calibri" w:hAnsi="Calibri" w:eastAsia="宋体" w:cs="Times New Roman"/>
                <w:b/>
                <w:bCs/>
              </w:rPr>
            </w:pPr>
            <w:r>
              <w:rPr>
                <w:rFonts w:ascii="Calibri" w:hAnsi="Calibri" w:eastAsia="宋体" w:cs="Times New Roman"/>
                <w:b/>
                <w:bCs/>
              </w:rPr>
              <w:t>度指</w:t>
            </w:r>
          </w:p>
          <w:p w14:paraId="773D5E11">
            <w:pPr>
              <w:jc w:val="center"/>
              <w:rPr>
                <w:rFonts w:ascii="Calibri" w:hAnsi="Calibri" w:eastAsia="宋体" w:cs="Times New Roman"/>
                <w:b/>
                <w:bCs/>
              </w:rPr>
            </w:pPr>
            <w:r>
              <w:rPr>
                <w:rFonts w:ascii="Calibri" w:hAnsi="Calibri" w:eastAsia="宋体" w:cs="Times New Roman"/>
                <w:b/>
                <w:bCs/>
              </w:rPr>
              <w:t>标</w:t>
            </w:r>
          </w:p>
        </w:tc>
        <w:tc>
          <w:tcPr>
            <w:tcW w:w="1103" w:type="dxa"/>
            <w:gridSpan w:val="2"/>
            <w:noWrap w:val="0"/>
            <w:vAlign w:val="top"/>
          </w:tcPr>
          <w:p w14:paraId="518F5AD7">
            <w:pPr>
              <w:spacing w:before="269" w:line="219" w:lineRule="auto"/>
              <w:ind w:firstLine="206" w:firstLineChars="100"/>
              <w:jc w:val="left"/>
              <w:rPr>
                <w:rFonts w:ascii="宋体" w:hAnsi="宋体" w:eastAsia="宋体" w:cs="宋体"/>
                <w:sz w:val="21"/>
                <w:szCs w:val="21"/>
              </w:rPr>
            </w:pPr>
            <w:r>
              <w:rPr>
                <w:rFonts w:ascii="宋体" w:hAnsi="宋体" w:eastAsia="宋体" w:cs="宋体"/>
                <w:spacing w:val="-2"/>
                <w:sz w:val="21"/>
                <w:szCs w:val="21"/>
              </w:rPr>
              <w:t>服务对象</w:t>
            </w:r>
          </w:p>
          <w:p w14:paraId="0964551D">
            <w:pPr>
              <w:spacing w:before="60" w:line="219" w:lineRule="auto"/>
              <w:ind w:firstLine="218" w:firstLineChars="100"/>
              <w:jc w:val="left"/>
              <w:rPr>
                <w:rFonts w:ascii="宋体" w:hAnsi="宋体" w:eastAsia="宋体" w:cs="宋体"/>
                <w:sz w:val="11"/>
                <w:szCs w:val="11"/>
              </w:rPr>
            </w:pPr>
            <w:r>
              <w:rPr>
                <w:rFonts w:ascii="宋体" w:hAnsi="宋体" w:eastAsia="宋体" w:cs="宋体"/>
                <w:spacing w:val="4"/>
                <w:sz w:val="21"/>
                <w:szCs w:val="21"/>
              </w:rPr>
              <w:t>满意</w:t>
            </w:r>
            <w:r>
              <w:rPr>
                <w:rFonts w:ascii="宋体" w:hAnsi="宋体" w:eastAsia="宋体" w:cs="宋体"/>
                <w:spacing w:val="-3"/>
                <w:sz w:val="21"/>
                <w:szCs w:val="21"/>
              </w:rPr>
              <w:t>指标</w:t>
            </w:r>
          </w:p>
        </w:tc>
        <w:tc>
          <w:tcPr>
            <w:tcW w:w="2663" w:type="dxa"/>
            <w:gridSpan w:val="3"/>
            <w:noWrap w:val="0"/>
            <w:vAlign w:val="top"/>
          </w:tcPr>
          <w:p w14:paraId="0CEE2C7E">
            <w:pPr>
              <w:spacing w:line="340" w:lineRule="auto"/>
              <w:ind w:firstLine="210" w:firstLineChars="100"/>
              <w:rPr>
                <w:rFonts w:hint="eastAsia" w:ascii="Arial"/>
                <w:sz w:val="21"/>
                <w:lang w:eastAsia="zh-CN"/>
              </w:rPr>
            </w:pPr>
          </w:p>
          <w:p w14:paraId="5955218E">
            <w:pPr>
              <w:spacing w:line="340" w:lineRule="auto"/>
              <w:ind w:firstLine="210" w:firstLineChars="100"/>
              <w:rPr>
                <w:rFonts w:hint="eastAsia" w:ascii="Arial" w:eastAsia="宋体"/>
                <w:sz w:val="21"/>
                <w:lang w:eastAsia="zh-CN"/>
              </w:rPr>
            </w:pPr>
            <w:r>
              <w:rPr>
                <w:rFonts w:hint="eastAsia" w:ascii="Arial"/>
                <w:sz w:val="21"/>
                <w:lang w:eastAsia="zh-CN"/>
              </w:rPr>
              <w:t>群众对规划项目满意率</w:t>
            </w:r>
          </w:p>
          <w:p w14:paraId="19FDB9E9">
            <w:pPr>
              <w:jc w:val="center"/>
              <w:rPr>
                <w:rFonts w:ascii="Arial"/>
                <w:sz w:val="21"/>
              </w:rPr>
            </w:pPr>
          </w:p>
        </w:tc>
        <w:tc>
          <w:tcPr>
            <w:tcW w:w="1458" w:type="dxa"/>
            <w:noWrap w:val="0"/>
            <w:vAlign w:val="top"/>
          </w:tcPr>
          <w:p w14:paraId="6B1E7789">
            <w:pPr>
              <w:ind w:firstLine="210" w:firstLineChars="100"/>
              <w:rPr>
                <w:rFonts w:hint="eastAsia" w:ascii="Arial"/>
                <w:sz w:val="21"/>
                <w:lang w:val="en-US" w:eastAsia="zh-CN"/>
              </w:rPr>
            </w:pPr>
          </w:p>
          <w:p w14:paraId="35D8754D">
            <w:pPr>
              <w:ind w:firstLine="210" w:firstLineChars="100"/>
              <w:rPr>
                <w:rFonts w:ascii="Arial"/>
                <w:sz w:val="21"/>
              </w:rPr>
            </w:pPr>
            <w:r>
              <w:rPr>
                <w:rFonts w:hint="eastAsia" w:ascii="Arial"/>
                <w:sz w:val="21"/>
                <w:lang w:val="en-US" w:eastAsia="zh-CN"/>
              </w:rPr>
              <w:t>95%以上</w:t>
            </w:r>
          </w:p>
        </w:tc>
        <w:tc>
          <w:tcPr>
            <w:tcW w:w="1318" w:type="dxa"/>
            <w:gridSpan w:val="2"/>
            <w:noWrap w:val="0"/>
            <w:vAlign w:val="top"/>
          </w:tcPr>
          <w:p w14:paraId="4368C431">
            <w:pPr>
              <w:ind w:firstLine="210" w:firstLineChars="100"/>
              <w:rPr>
                <w:rFonts w:hint="eastAsia" w:ascii="Arial"/>
                <w:sz w:val="21"/>
                <w:lang w:val="en-US" w:eastAsia="zh-CN"/>
              </w:rPr>
            </w:pPr>
          </w:p>
          <w:p w14:paraId="3852674E">
            <w:pPr>
              <w:ind w:firstLine="210" w:firstLineChars="100"/>
              <w:rPr>
                <w:rFonts w:ascii="Arial"/>
                <w:sz w:val="21"/>
              </w:rPr>
            </w:pPr>
            <w:r>
              <w:rPr>
                <w:rFonts w:hint="eastAsia" w:ascii="Arial"/>
                <w:sz w:val="21"/>
                <w:lang w:val="en-US" w:eastAsia="zh-CN"/>
              </w:rPr>
              <w:t>95%以上</w:t>
            </w:r>
          </w:p>
        </w:tc>
        <w:tc>
          <w:tcPr>
            <w:tcW w:w="884" w:type="dxa"/>
            <w:noWrap w:val="0"/>
            <w:vAlign w:val="top"/>
          </w:tcPr>
          <w:p w14:paraId="66766469">
            <w:pPr>
              <w:ind w:firstLine="210" w:firstLineChars="100"/>
              <w:rPr>
                <w:rFonts w:hint="default" w:ascii="Arial" w:eastAsia="宋体"/>
                <w:sz w:val="21"/>
                <w:lang w:val="en-US" w:eastAsia="zh-CN"/>
              </w:rPr>
            </w:pPr>
            <w:r>
              <w:rPr>
                <w:rFonts w:hint="eastAsia" w:ascii="Arial"/>
                <w:sz w:val="21"/>
                <w:lang w:val="en-US" w:eastAsia="zh-CN"/>
              </w:rPr>
              <w:t>10</w:t>
            </w:r>
          </w:p>
        </w:tc>
      </w:tr>
      <w:tr w14:paraId="2C758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14" w:type="dxa"/>
            <w:vMerge w:val="continue"/>
            <w:tcBorders>
              <w:top w:val="nil"/>
            </w:tcBorders>
            <w:noWrap w:val="0"/>
            <w:vAlign w:val="top"/>
          </w:tcPr>
          <w:p w14:paraId="304D38A7">
            <w:pPr>
              <w:rPr>
                <w:rFonts w:ascii="Arial"/>
                <w:sz w:val="21"/>
              </w:rPr>
            </w:pPr>
          </w:p>
        </w:tc>
        <w:tc>
          <w:tcPr>
            <w:tcW w:w="689" w:type="dxa"/>
            <w:vMerge w:val="continue"/>
            <w:tcBorders>
              <w:top w:val="nil"/>
            </w:tcBorders>
            <w:noWrap w:val="0"/>
            <w:vAlign w:val="top"/>
          </w:tcPr>
          <w:p w14:paraId="2C1E0D17">
            <w:pPr>
              <w:rPr>
                <w:rFonts w:ascii="Arial"/>
                <w:sz w:val="21"/>
              </w:rPr>
            </w:pPr>
          </w:p>
        </w:tc>
        <w:tc>
          <w:tcPr>
            <w:tcW w:w="1103" w:type="dxa"/>
            <w:gridSpan w:val="2"/>
            <w:noWrap w:val="0"/>
            <w:vAlign w:val="top"/>
          </w:tcPr>
          <w:p w14:paraId="62E640FF">
            <w:pPr>
              <w:rPr>
                <w:rFonts w:ascii="Arial"/>
                <w:sz w:val="21"/>
              </w:rPr>
            </w:pPr>
          </w:p>
        </w:tc>
        <w:tc>
          <w:tcPr>
            <w:tcW w:w="2663" w:type="dxa"/>
            <w:gridSpan w:val="3"/>
            <w:noWrap w:val="0"/>
            <w:vAlign w:val="top"/>
          </w:tcPr>
          <w:p w14:paraId="5022C36D">
            <w:pPr>
              <w:rPr>
                <w:rFonts w:ascii="Arial"/>
                <w:sz w:val="21"/>
              </w:rPr>
            </w:pPr>
          </w:p>
        </w:tc>
        <w:tc>
          <w:tcPr>
            <w:tcW w:w="1458" w:type="dxa"/>
            <w:noWrap w:val="0"/>
            <w:vAlign w:val="top"/>
          </w:tcPr>
          <w:p w14:paraId="34DB96BC">
            <w:pPr>
              <w:rPr>
                <w:rFonts w:ascii="Arial"/>
                <w:sz w:val="21"/>
              </w:rPr>
            </w:pPr>
          </w:p>
        </w:tc>
        <w:tc>
          <w:tcPr>
            <w:tcW w:w="1318" w:type="dxa"/>
            <w:gridSpan w:val="2"/>
            <w:noWrap w:val="0"/>
            <w:vAlign w:val="top"/>
          </w:tcPr>
          <w:p w14:paraId="22250017">
            <w:pPr>
              <w:rPr>
                <w:rFonts w:ascii="Arial"/>
                <w:sz w:val="21"/>
              </w:rPr>
            </w:pPr>
          </w:p>
        </w:tc>
        <w:tc>
          <w:tcPr>
            <w:tcW w:w="884" w:type="dxa"/>
            <w:noWrap w:val="0"/>
            <w:vAlign w:val="top"/>
          </w:tcPr>
          <w:p w14:paraId="2CB3AD12">
            <w:pPr>
              <w:rPr>
                <w:rFonts w:ascii="Arial"/>
                <w:sz w:val="21"/>
              </w:rPr>
            </w:pPr>
          </w:p>
        </w:tc>
      </w:tr>
      <w:tr w14:paraId="4DEB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14" w:type="dxa"/>
            <w:noWrap w:val="0"/>
            <w:vAlign w:val="top"/>
          </w:tcPr>
          <w:p w14:paraId="61D6A679">
            <w:pPr>
              <w:spacing w:before="58" w:line="223" w:lineRule="auto"/>
              <w:ind w:right="115"/>
              <w:jc w:val="left"/>
              <w:rPr>
                <w:rFonts w:ascii="宋体" w:hAnsi="宋体" w:eastAsia="宋体" w:cs="宋体"/>
                <w:sz w:val="21"/>
                <w:szCs w:val="21"/>
              </w:rPr>
            </w:pPr>
            <w:r>
              <w:rPr>
                <w:rFonts w:ascii="Calibri" w:hAnsi="Calibri" w:eastAsia="宋体" w:cs="Times New Roman"/>
                <w:b w:val="0"/>
                <w:bCs w:val="0"/>
              </w:rPr>
              <w:t>年度绩效目标</w:t>
            </w:r>
          </w:p>
        </w:tc>
        <w:tc>
          <w:tcPr>
            <w:tcW w:w="689" w:type="dxa"/>
            <w:noWrap w:val="0"/>
            <w:vAlign w:val="top"/>
          </w:tcPr>
          <w:p w14:paraId="5AA14C4C">
            <w:pPr>
              <w:rPr>
                <w:rFonts w:ascii="Arial"/>
                <w:sz w:val="21"/>
              </w:rPr>
            </w:pPr>
          </w:p>
        </w:tc>
        <w:tc>
          <w:tcPr>
            <w:tcW w:w="1103" w:type="dxa"/>
            <w:gridSpan w:val="2"/>
            <w:noWrap w:val="0"/>
            <w:vAlign w:val="top"/>
          </w:tcPr>
          <w:p w14:paraId="60A36469">
            <w:pPr>
              <w:rPr>
                <w:rFonts w:ascii="Arial"/>
                <w:sz w:val="21"/>
              </w:rPr>
            </w:pPr>
          </w:p>
        </w:tc>
        <w:tc>
          <w:tcPr>
            <w:tcW w:w="2663" w:type="dxa"/>
            <w:gridSpan w:val="3"/>
            <w:noWrap w:val="0"/>
            <w:vAlign w:val="top"/>
          </w:tcPr>
          <w:p w14:paraId="30C8D360">
            <w:pPr>
              <w:rPr>
                <w:rFonts w:ascii="Arial"/>
                <w:sz w:val="21"/>
              </w:rPr>
            </w:pPr>
          </w:p>
        </w:tc>
        <w:tc>
          <w:tcPr>
            <w:tcW w:w="1458" w:type="dxa"/>
            <w:noWrap w:val="0"/>
            <w:vAlign w:val="top"/>
          </w:tcPr>
          <w:p w14:paraId="3BB146C3">
            <w:pPr>
              <w:rPr>
                <w:rFonts w:ascii="Arial"/>
                <w:sz w:val="21"/>
              </w:rPr>
            </w:pPr>
          </w:p>
        </w:tc>
        <w:tc>
          <w:tcPr>
            <w:tcW w:w="1318" w:type="dxa"/>
            <w:gridSpan w:val="2"/>
            <w:noWrap w:val="0"/>
            <w:vAlign w:val="top"/>
          </w:tcPr>
          <w:p w14:paraId="208C3590">
            <w:pPr>
              <w:rPr>
                <w:rFonts w:ascii="Arial"/>
                <w:sz w:val="21"/>
              </w:rPr>
            </w:pPr>
          </w:p>
        </w:tc>
        <w:tc>
          <w:tcPr>
            <w:tcW w:w="884" w:type="dxa"/>
            <w:noWrap w:val="0"/>
            <w:vAlign w:val="top"/>
          </w:tcPr>
          <w:p w14:paraId="754D293C">
            <w:pPr>
              <w:rPr>
                <w:rFonts w:ascii="Arial"/>
                <w:sz w:val="21"/>
              </w:rPr>
            </w:pPr>
          </w:p>
        </w:tc>
      </w:tr>
      <w:tr w14:paraId="6956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9863803">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D80DBBA">
            <w:pPr>
              <w:rPr>
                <w:rFonts w:ascii="Arial"/>
                <w:sz w:val="21"/>
              </w:rPr>
            </w:pPr>
          </w:p>
        </w:tc>
        <w:tc>
          <w:tcPr>
            <w:tcW w:w="1103" w:type="dxa"/>
            <w:gridSpan w:val="2"/>
            <w:noWrap w:val="0"/>
            <w:vAlign w:val="top"/>
          </w:tcPr>
          <w:p w14:paraId="2735E637">
            <w:pPr>
              <w:rPr>
                <w:rFonts w:ascii="Arial"/>
                <w:sz w:val="21"/>
              </w:rPr>
            </w:pPr>
          </w:p>
        </w:tc>
        <w:tc>
          <w:tcPr>
            <w:tcW w:w="2663" w:type="dxa"/>
            <w:gridSpan w:val="3"/>
            <w:noWrap w:val="0"/>
            <w:vAlign w:val="top"/>
          </w:tcPr>
          <w:p w14:paraId="479F06C0">
            <w:pPr>
              <w:rPr>
                <w:rFonts w:ascii="Arial"/>
                <w:sz w:val="21"/>
              </w:rPr>
            </w:pPr>
          </w:p>
        </w:tc>
        <w:tc>
          <w:tcPr>
            <w:tcW w:w="1458" w:type="dxa"/>
            <w:noWrap w:val="0"/>
            <w:vAlign w:val="top"/>
          </w:tcPr>
          <w:p w14:paraId="1079E3A0">
            <w:pPr>
              <w:rPr>
                <w:rFonts w:ascii="Arial"/>
                <w:sz w:val="21"/>
              </w:rPr>
            </w:pPr>
          </w:p>
        </w:tc>
        <w:tc>
          <w:tcPr>
            <w:tcW w:w="1318" w:type="dxa"/>
            <w:gridSpan w:val="2"/>
            <w:noWrap w:val="0"/>
            <w:vAlign w:val="top"/>
          </w:tcPr>
          <w:p w14:paraId="717E14E3">
            <w:pPr>
              <w:rPr>
                <w:rFonts w:ascii="Arial"/>
                <w:sz w:val="21"/>
              </w:rPr>
            </w:pPr>
          </w:p>
        </w:tc>
        <w:tc>
          <w:tcPr>
            <w:tcW w:w="884" w:type="dxa"/>
            <w:noWrap w:val="0"/>
            <w:vAlign w:val="top"/>
          </w:tcPr>
          <w:p w14:paraId="580C52F8">
            <w:pPr>
              <w:rPr>
                <w:rFonts w:ascii="Arial"/>
                <w:sz w:val="21"/>
              </w:rPr>
            </w:pPr>
          </w:p>
        </w:tc>
      </w:tr>
      <w:tr w14:paraId="3B83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14" w:type="dxa"/>
            <w:noWrap w:val="0"/>
            <w:vAlign w:val="top"/>
          </w:tcPr>
          <w:p w14:paraId="0C80FFB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D939A71">
            <w:pPr>
              <w:rPr>
                <w:rFonts w:hint="eastAsia" w:ascii="Arial"/>
                <w:sz w:val="21"/>
                <w:lang w:val="en-US" w:eastAsia="zh-CN"/>
              </w:rPr>
            </w:pPr>
            <w:r>
              <w:rPr>
                <w:rFonts w:hint="eastAsia" w:ascii="Arial"/>
                <w:sz w:val="21"/>
                <w:lang w:val="en-US" w:eastAsia="zh-CN"/>
              </w:rPr>
              <w:t xml:space="preserve">      </w:t>
            </w:r>
          </w:p>
          <w:p w14:paraId="7395E53D">
            <w:pPr>
              <w:ind w:firstLine="1050" w:firstLineChars="500"/>
              <w:jc w:val="center"/>
              <w:rPr>
                <w:rFonts w:hint="eastAsia" w:ascii="Arial"/>
                <w:sz w:val="21"/>
                <w:lang w:val="en-US" w:eastAsia="zh-CN"/>
              </w:rPr>
            </w:pPr>
            <w:r>
              <w:rPr>
                <w:rFonts w:hint="eastAsia" w:ascii="Arial"/>
                <w:sz w:val="21"/>
                <w:lang w:val="en-US" w:eastAsia="zh-CN"/>
              </w:rPr>
              <w:t>92</w:t>
            </w:r>
          </w:p>
          <w:p w14:paraId="25B57D0E">
            <w:pPr>
              <w:rPr>
                <w:rFonts w:hint="default" w:ascii="Arial"/>
                <w:sz w:val="21"/>
                <w:lang w:val="en-US" w:eastAsia="zh-CN"/>
              </w:rPr>
            </w:pPr>
          </w:p>
        </w:tc>
      </w:tr>
      <w:tr w14:paraId="4BF4A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523" w:type="dxa"/>
            <w:gridSpan w:val="3"/>
            <w:noWrap w:val="0"/>
            <w:vAlign w:val="top"/>
          </w:tcPr>
          <w:p w14:paraId="07C91360">
            <w:pPr>
              <w:jc w:val="center"/>
              <w:rPr>
                <w:b/>
                <w:bCs/>
              </w:rPr>
            </w:pPr>
            <w:r>
              <w:rPr>
                <w:b/>
                <w:bCs/>
              </w:rPr>
              <w:t>偏差大或</w:t>
            </w:r>
          </w:p>
          <w:p w14:paraId="1B7972E0">
            <w:pPr>
              <w:jc w:val="center"/>
              <w:rPr>
                <w:b/>
                <w:bCs/>
              </w:rPr>
            </w:pPr>
            <w:r>
              <w:rPr>
                <w:b/>
                <w:bCs/>
              </w:rPr>
              <w:t>目标未完成</w:t>
            </w:r>
          </w:p>
          <w:p w14:paraId="5A04C00C">
            <w:pPr>
              <w:jc w:val="center"/>
              <w:rPr>
                <w:rFonts w:ascii="宋体" w:hAnsi="宋体" w:eastAsia="宋体" w:cs="宋体"/>
                <w:sz w:val="20"/>
                <w:szCs w:val="20"/>
              </w:rPr>
            </w:pPr>
            <w:r>
              <w:rPr>
                <w:b/>
                <w:bCs/>
              </w:rPr>
              <w:t>原因分析</w:t>
            </w:r>
          </w:p>
        </w:tc>
        <w:tc>
          <w:tcPr>
            <w:tcW w:w="7406" w:type="dxa"/>
            <w:gridSpan w:val="8"/>
            <w:noWrap w:val="0"/>
            <w:vAlign w:val="top"/>
          </w:tcPr>
          <w:p w14:paraId="65C85EA8">
            <w:pPr>
              <w:rPr>
                <w:rFonts w:ascii="Arial"/>
                <w:sz w:val="21"/>
              </w:rPr>
            </w:pPr>
          </w:p>
          <w:p w14:paraId="693C97BC">
            <w:pPr>
              <w:jc w:val="center"/>
              <w:rPr>
                <w:rFonts w:hint="eastAsia" w:ascii="Arial" w:eastAsia="宋体"/>
                <w:sz w:val="21"/>
                <w:lang w:eastAsia="zh-CN"/>
              </w:rPr>
            </w:pPr>
            <w:r>
              <w:rPr>
                <w:rFonts w:hint="eastAsia" w:ascii="Arial"/>
                <w:sz w:val="21"/>
                <w:lang w:eastAsia="zh-CN"/>
              </w:rPr>
              <w:t>无</w:t>
            </w:r>
          </w:p>
        </w:tc>
      </w:tr>
      <w:tr w14:paraId="2757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523" w:type="dxa"/>
            <w:gridSpan w:val="3"/>
            <w:noWrap w:val="0"/>
            <w:vAlign w:val="top"/>
          </w:tcPr>
          <w:p w14:paraId="417C4EC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9A5B8CA">
            <w:pPr>
              <w:rPr>
                <w:rFonts w:ascii="Arial"/>
                <w:sz w:val="21"/>
              </w:rPr>
            </w:pPr>
          </w:p>
          <w:p w14:paraId="6D4E14C2">
            <w:pPr>
              <w:jc w:val="center"/>
              <w:rPr>
                <w:rFonts w:hint="eastAsia" w:ascii="Arial" w:eastAsia="宋体"/>
                <w:sz w:val="21"/>
                <w:lang w:eastAsia="zh-CN"/>
              </w:rPr>
            </w:pPr>
            <w:r>
              <w:rPr>
                <w:rFonts w:hint="eastAsia" w:ascii="Arial"/>
                <w:sz w:val="21"/>
                <w:lang w:eastAsia="zh-CN"/>
              </w:rPr>
              <w:t>无</w:t>
            </w:r>
          </w:p>
        </w:tc>
      </w:tr>
    </w:tbl>
    <w:p w14:paraId="0EEF1C34">
      <w:pPr>
        <w:widowControl/>
        <w:numPr>
          <w:ilvl w:val="0"/>
          <w:numId w:val="0"/>
        </w:numPr>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p>
    <w:p w14:paraId="1EF7A2FB">
      <w:pPr>
        <w:numPr>
          <w:ilvl w:val="0"/>
          <w:numId w:val="2"/>
        </w:numPr>
        <w:spacing w:line="560" w:lineRule="exact"/>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Arial" w:hAnsi="Arial" w:eastAsia="宋体" w:cs="Arial"/>
          <w:color w:val="000000"/>
          <w:kern w:val="0"/>
          <w:sz w:val="27"/>
          <w:szCs w:val="27"/>
          <w:lang w:val="en-US" w:eastAsia="zh-CN"/>
        </w:rPr>
        <w:t xml:space="preserve"> 本部门无财政专项支出、无专项转移支付。</w:t>
      </w:r>
    </w:p>
    <w:p w14:paraId="3A785E57">
      <w:pPr>
        <w:numPr>
          <w:ilvl w:val="0"/>
          <w:numId w:val="0"/>
        </w:numPr>
        <w:spacing w:line="560" w:lineRule="exact"/>
        <w:rPr>
          <w:rFonts w:hint="eastAsia" w:ascii="Arial" w:hAnsi="Arial" w:eastAsia="宋体" w:cs="Arial"/>
          <w:color w:val="000000"/>
          <w:kern w:val="0"/>
          <w:sz w:val="27"/>
          <w:szCs w:val="27"/>
          <w:lang w:val="en-US" w:eastAsia="zh-CN"/>
        </w:rPr>
      </w:pPr>
    </w:p>
    <w:p w14:paraId="02851470">
      <w:pPr>
        <w:numPr>
          <w:ilvl w:val="0"/>
          <w:numId w:val="0"/>
        </w:numPr>
        <w:spacing w:line="560" w:lineRule="exac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第四部分  名词解释</w:t>
      </w:r>
    </w:p>
    <w:p w14:paraId="5B313F46">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716FBB5C">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4623E225">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14:paraId="27004756">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14:paraId="41C4FB44">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14:paraId="4F501C41">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14:paraId="7E9FFF38">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14:paraId="11891900">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八</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使用非财政拨款结余</w:t>
      </w:r>
      <w:r>
        <w:rPr>
          <w:rFonts w:hint="eastAsia" w:ascii="Arial" w:hAnsi="Arial" w:eastAsia="宋体" w:cs="Arial"/>
          <w:color w:val="000000"/>
          <w:kern w:val="0"/>
          <w:sz w:val="27"/>
          <w:szCs w:val="27"/>
        </w:rPr>
        <w:t>：</w:t>
      </w:r>
      <w:r>
        <w:rPr>
          <w:rFonts w:hint="default" w:ascii="Arial" w:hAnsi="Arial" w:eastAsia="宋体" w:cs="Arial"/>
          <w:color w:val="000000"/>
          <w:kern w:val="0"/>
          <w:sz w:val="27"/>
          <w:szCs w:val="27"/>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14:paraId="0B92AFDA">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九</w:t>
      </w:r>
      <w:r>
        <w:rPr>
          <w:rFonts w:hint="eastAsia" w:ascii="Arial" w:hAnsi="Arial" w:eastAsia="宋体" w:cs="Arial"/>
          <w:color w:val="000000"/>
          <w:kern w:val="0"/>
          <w:sz w:val="27"/>
          <w:szCs w:val="27"/>
        </w:rPr>
        <w:t>)年初结转和结余：</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rPr>
        <w:t>。</w:t>
      </w:r>
    </w:p>
    <w:p w14:paraId="56A87C26">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十</w:t>
      </w:r>
      <w:r>
        <w:rPr>
          <w:rFonts w:hint="eastAsia" w:ascii="Arial" w:hAnsi="Arial" w:eastAsia="宋体" w:cs="Arial"/>
          <w:color w:val="000000"/>
          <w:kern w:val="0"/>
          <w:sz w:val="27"/>
          <w:szCs w:val="27"/>
        </w:rPr>
        <w:t>)本部门使用的支出功能分类科目(到项级)</w:t>
      </w:r>
    </w:p>
    <w:p w14:paraId="46380E72">
      <w:pPr>
        <w:shd w:val="clear" w:color="auto" w:fill="auto"/>
        <w:bidi w:val="0"/>
        <w:ind w:firstLine="810" w:firstLineChars="3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1.城乡社区支出(类)城乡社区管理事务（款）行政运行（项）。</w:t>
      </w:r>
    </w:p>
    <w:p w14:paraId="1B58E092">
      <w:pPr>
        <w:widowControl/>
        <w:numPr>
          <w:ilvl w:val="0"/>
          <w:numId w:val="0"/>
        </w:numPr>
        <w:shd w:val="clear" w:color="auto" w:fill="FFFFFF"/>
        <w:spacing w:line="424" w:lineRule="atLeast"/>
        <w:ind w:firstLine="810" w:firstLineChars="300"/>
        <w:jc w:val="left"/>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2.城乡社区支出(类)城乡社区管理事务（款）一般行政管理事务（项）。</w:t>
      </w:r>
    </w:p>
    <w:p w14:paraId="59D16AD2">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一</w:t>
      </w:r>
      <w:r>
        <w:rPr>
          <w:rFonts w:hint="eastAsia" w:ascii="Arial" w:hAnsi="Arial" w:eastAsia="宋体" w:cs="Arial"/>
          <w:color w:val="000000"/>
          <w:kern w:val="0"/>
          <w:sz w:val="27"/>
          <w:szCs w:val="27"/>
        </w:rPr>
        <w:t>)结余分配：指事业单位按照会计制度规定缴纳</w:t>
      </w:r>
      <w:r>
        <w:rPr>
          <w:rFonts w:hint="eastAsia" w:ascii="Arial" w:hAnsi="Arial" w:eastAsia="宋体" w:cs="Arial"/>
          <w:color w:val="000000"/>
          <w:kern w:val="0"/>
          <w:sz w:val="27"/>
          <w:szCs w:val="27"/>
          <w:lang w:eastAsia="zh-CN"/>
        </w:rPr>
        <w:t>的企业</w:t>
      </w:r>
      <w:r>
        <w:rPr>
          <w:rFonts w:hint="eastAsia" w:ascii="Arial" w:hAnsi="Arial" w:eastAsia="宋体" w:cs="Arial"/>
          <w:color w:val="000000"/>
          <w:kern w:val="0"/>
          <w:sz w:val="27"/>
          <w:szCs w:val="27"/>
        </w:rPr>
        <w:t>所得税</w:t>
      </w:r>
      <w:r>
        <w:rPr>
          <w:rFonts w:hint="eastAsia" w:ascii="Arial" w:hAnsi="Arial" w:eastAsia="宋体" w:cs="Arial"/>
          <w:color w:val="000000"/>
          <w:kern w:val="0"/>
          <w:sz w:val="27"/>
          <w:szCs w:val="27"/>
          <w:lang w:eastAsia="zh-CN"/>
        </w:rPr>
        <w:t>、提取的专用结余以及转入非财政拨款结余的金额</w:t>
      </w:r>
      <w:r>
        <w:rPr>
          <w:rFonts w:hint="eastAsia" w:ascii="Arial" w:hAnsi="Arial" w:eastAsia="宋体" w:cs="Arial"/>
          <w:color w:val="000000"/>
          <w:kern w:val="0"/>
          <w:sz w:val="27"/>
          <w:szCs w:val="27"/>
        </w:rPr>
        <w:t>等。</w:t>
      </w:r>
    </w:p>
    <w:p w14:paraId="3E4DA9DC">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)年末结转和结余：指单位</w:t>
      </w:r>
      <w:r>
        <w:rPr>
          <w:rFonts w:hint="eastAsia" w:ascii="Arial" w:hAnsi="Arial" w:eastAsia="宋体" w:cs="Arial"/>
          <w:color w:val="000000"/>
          <w:kern w:val="0"/>
          <w:sz w:val="27"/>
          <w:szCs w:val="27"/>
          <w:lang w:eastAsia="zh-CN"/>
        </w:rPr>
        <w:t>按有关规定结转到下年或以后年度继续使用的资金</w:t>
      </w:r>
      <w:r>
        <w:rPr>
          <w:rFonts w:hint="eastAsia" w:ascii="Arial" w:hAnsi="Arial" w:eastAsia="宋体" w:cs="Arial"/>
          <w:color w:val="000000"/>
          <w:kern w:val="0"/>
          <w:sz w:val="27"/>
          <w:szCs w:val="27"/>
        </w:rPr>
        <w:t>，或项目已完成等产生的结余资金。</w:t>
      </w:r>
    </w:p>
    <w:p w14:paraId="1A3B59AF">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)基本支出：指为保障机构正常运转、完成日常工作任务而发生的人员支出和公用支出。</w:t>
      </w:r>
    </w:p>
    <w:p w14:paraId="207E0A48">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)项目支出：指在基本支出之外为完成特定行政任务或事业发展目标所发生的支出。</w:t>
      </w:r>
    </w:p>
    <w:p w14:paraId="26F59F5D">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)经营支出：指事业单位在专业活动及辅助活动之外开展非独立核算经营活动发生的支出。</w:t>
      </w:r>
    </w:p>
    <w:p w14:paraId="75B7D58D">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纳入省级财政预决算管理的</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，是</w:t>
      </w:r>
      <w:r>
        <w:rPr>
          <w:rFonts w:hint="eastAsia"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省直部门</w:t>
      </w:r>
      <w:r>
        <w:rPr>
          <w:rFonts w:hint="eastAsia" w:ascii="Arial" w:hAnsi="Arial" w:eastAsia="宋体" w:cs="Arial"/>
          <w:color w:val="000000"/>
          <w:kern w:val="0"/>
          <w:sz w:val="27"/>
          <w:szCs w:val="27"/>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Arial" w:hAnsi="Arial" w:eastAsia="宋体" w:cs="Arial"/>
          <w:color w:val="000000"/>
          <w:kern w:val="0"/>
          <w:sz w:val="27"/>
          <w:szCs w:val="27"/>
          <w:lang w:eastAsia="zh-CN"/>
        </w:rPr>
        <w:t>、牌照费</w:t>
      </w:r>
      <w:r>
        <w:rPr>
          <w:rFonts w:hint="eastAsia" w:ascii="Arial" w:hAnsi="Arial" w:eastAsia="宋体" w:cs="Arial"/>
          <w:color w:val="000000"/>
          <w:kern w:val="0"/>
          <w:sz w:val="27"/>
          <w:szCs w:val="27"/>
        </w:rPr>
        <w:t>)及燃料费、维修费、过桥过路费、保险费、安全奖励费用等支出；公务接待费反映单位按规定开支的各类公务接待(含外宾接待)费用。</w:t>
      </w:r>
    </w:p>
    <w:p w14:paraId="2310CC51">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)机关运行经费：指为保障行政单位（</w:t>
      </w:r>
      <w:r>
        <w:rPr>
          <w:rFonts w:hint="eastAsia" w:ascii="Arial" w:hAnsi="Arial" w:eastAsia="宋体" w:cs="Arial"/>
          <w:color w:val="000000"/>
          <w:kern w:val="0"/>
          <w:sz w:val="27"/>
          <w:szCs w:val="27"/>
          <w:lang w:eastAsia="zh-CN"/>
        </w:rPr>
        <w:t>包括</w:t>
      </w:r>
      <w:r>
        <w:rPr>
          <w:rFonts w:hint="eastAsia" w:ascii="Arial" w:hAnsi="Arial" w:eastAsia="宋体" w:cs="Arial"/>
          <w:color w:val="000000"/>
          <w:kern w:val="0"/>
          <w:sz w:val="27"/>
          <w:szCs w:val="27"/>
        </w:rPr>
        <w:t>参照公务员法管理的事业单位）运行用于购买货物和服务的各项资金，包括办公</w:t>
      </w:r>
      <w:r>
        <w:rPr>
          <w:rFonts w:hint="eastAsia" w:ascii="Arial" w:hAnsi="Arial" w:eastAsia="宋体" w:cs="Arial"/>
          <w:color w:val="000000"/>
          <w:kern w:val="0"/>
          <w:sz w:val="27"/>
          <w:szCs w:val="27"/>
          <w:lang w:eastAsia="zh-CN"/>
        </w:rPr>
        <w:t>费、</w:t>
      </w:r>
      <w:r>
        <w:rPr>
          <w:rFonts w:hint="eastAsia" w:ascii="Arial" w:hAnsi="Arial" w:eastAsia="宋体" w:cs="Arial"/>
          <w:color w:val="000000"/>
          <w:kern w:val="0"/>
          <w:sz w:val="27"/>
          <w:szCs w:val="27"/>
        </w:rPr>
        <w:t>印刷费、邮电费、差旅费、会议费、福利费、日常维修费、专用材料及一般设备购置费、办公用房水电费、办公用房取暖费、办公用房物业管理费、公务用车运行维护费以及其他费用。</w:t>
      </w:r>
    </w:p>
    <w:p w14:paraId="1E3EFBE5">
      <w:pPr>
        <w:widowControl/>
        <w:numPr>
          <w:ilvl w:val="0"/>
          <w:numId w:val="0"/>
        </w:numPr>
        <w:shd w:val="clear" w:color="auto" w:fill="FFFFFF"/>
        <w:spacing w:line="424" w:lineRule="atLeast"/>
        <w:jc w:val="left"/>
        <w:rPr>
          <w:rFonts w:hint="default" w:ascii="Arial" w:hAnsi="Arial" w:eastAsia="宋体" w:cs="Arial"/>
          <w:color w:val="000000"/>
          <w:kern w:val="0"/>
          <w:sz w:val="27"/>
          <w:szCs w:val="27"/>
          <w:lang w:val="en-US" w:eastAsia="zh-CN"/>
        </w:rPr>
      </w:pPr>
    </w:p>
    <w:p w14:paraId="17213665"/>
    <w:sectPr>
      <w:pgSz w:w="11906" w:h="16838"/>
      <w:pgMar w:top="1440" w:right="1247"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3BEA"/>
    <w:multiLevelType w:val="singleLevel"/>
    <w:tmpl w:val="17DE3BEA"/>
    <w:lvl w:ilvl="0" w:tentative="0">
      <w:start w:val="14"/>
      <w:numFmt w:val="chineseCounting"/>
      <w:suff w:val="nothing"/>
      <w:lvlText w:val="%1、"/>
      <w:lvlJc w:val="left"/>
      <w:rPr>
        <w:rFonts w:hint="eastAsia"/>
      </w:rPr>
    </w:lvl>
  </w:abstractNum>
  <w:abstractNum w:abstractNumId="1">
    <w:nsid w:val="3794F37B"/>
    <w:multiLevelType w:val="singleLevel"/>
    <w:tmpl w:val="3794F3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A04053"/>
    <w:rsid w:val="000122F9"/>
    <w:rsid w:val="00154623"/>
    <w:rsid w:val="00157171"/>
    <w:rsid w:val="00180A28"/>
    <w:rsid w:val="00184DC5"/>
    <w:rsid w:val="00284B79"/>
    <w:rsid w:val="0035681F"/>
    <w:rsid w:val="003C7E8C"/>
    <w:rsid w:val="004D76ED"/>
    <w:rsid w:val="006770FA"/>
    <w:rsid w:val="007D4B69"/>
    <w:rsid w:val="00A04053"/>
    <w:rsid w:val="00AE430D"/>
    <w:rsid w:val="00B20AB1"/>
    <w:rsid w:val="00D65351"/>
    <w:rsid w:val="00D84FCC"/>
    <w:rsid w:val="00F757E4"/>
    <w:rsid w:val="01884742"/>
    <w:rsid w:val="02AA240C"/>
    <w:rsid w:val="057E59E3"/>
    <w:rsid w:val="070B3D5C"/>
    <w:rsid w:val="0E7C6F36"/>
    <w:rsid w:val="17157B40"/>
    <w:rsid w:val="20DD04E2"/>
    <w:rsid w:val="236C27F5"/>
    <w:rsid w:val="264B5E21"/>
    <w:rsid w:val="28C7447F"/>
    <w:rsid w:val="34BF107E"/>
    <w:rsid w:val="356E6BD7"/>
    <w:rsid w:val="3A9669FB"/>
    <w:rsid w:val="3C2C5F22"/>
    <w:rsid w:val="40783CA9"/>
    <w:rsid w:val="47E23A35"/>
    <w:rsid w:val="4FD34327"/>
    <w:rsid w:val="51D851A3"/>
    <w:rsid w:val="52156946"/>
    <w:rsid w:val="52310AA0"/>
    <w:rsid w:val="5B1A2D53"/>
    <w:rsid w:val="5B363EA0"/>
    <w:rsid w:val="5FCD36A3"/>
    <w:rsid w:val="602D7EDE"/>
    <w:rsid w:val="6593450E"/>
    <w:rsid w:val="65DD40C0"/>
    <w:rsid w:val="6D5C5EE7"/>
    <w:rsid w:val="706C0F60"/>
    <w:rsid w:val="71CE428F"/>
    <w:rsid w:val="76AD4213"/>
    <w:rsid w:val="78244505"/>
    <w:rsid w:val="79515BAB"/>
    <w:rsid w:val="7C816210"/>
    <w:rsid w:val="7D77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6590</Words>
  <Characters>7164</Characters>
  <Lines>41</Lines>
  <Paragraphs>11</Paragraphs>
  <TotalTime>14</TotalTime>
  <ScaleCrop>false</ScaleCrop>
  <LinksUpToDate>false</LinksUpToDate>
  <CharactersWithSpaces>7262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2023-07-24T13:34:00Z</dcterms:created>
  <dc:creator>Administrator</dc:creator>
  <cp:lastModifiedBy>时间的尽头</cp:lastModifiedBy>
  <dcterms:modified xsi:type="dcterms:W3CDTF">2025-03-14T03:04:05Z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A228DE6F98274BCF83CA4D28017E66E2_12</vt:lpwstr>
  </property>
  <property fmtid="{D5CDD505-2E9C-101B-9397-08002B2CF9AE}" pid="4" name="KSOTemplateDocerSaveRecord">
    <vt:lpwstr>eyJoZGlkIjoiOTc4OTdhNTgyZmEzODBmNjY4YjAzM2FjZjRjYmE5ZDgiLCJ1c2VySWQiOiI1NTk0Mjk4NTAifQ==</vt:lpwstr>
  </property>
</Properties>
</file>