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600" w:lineRule="atLeast"/>
        <w:jc w:val="center"/>
        <w:rPr>
          <w:rFonts w:hint="default" w:ascii="Arial" w:hAnsi="Arial" w:cs="Arial"/>
          <w:color w:val="auto"/>
          <w:sz w:val="36"/>
          <w:szCs w:val="36"/>
        </w:rPr>
      </w:pPr>
      <w:r>
        <w:rPr>
          <w:rFonts w:hint="default" w:ascii="Arial" w:hAnsi="Arial" w:cs="Arial"/>
          <w:color w:val="auto"/>
          <w:sz w:val="36"/>
          <w:szCs w:val="36"/>
          <w:shd w:val="clear" w:color="auto" w:fill="FFFFFF"/>
        </w:rPr>
        <w:t>下陆区发展和改革局202</w:t>
      </w:r>
      <w:r>
        <w:rPr>
          <w:rFonts w:hint="eastAsia" w:ascii="Arial" w:hAnsi="Arial" w:cs="Arial"/>
          <w:color w:val="auto"/>
          <w:sz w:val="36"/>
          <w:szCs w:val="36"/>
          <w:shd w:val="clear" w:color="auto" w:fill="FFFFFF"/>
          <w:lang w:val="en-US" w:eastAsia="zh-CN"/>
        </w:rPr>
        <w:t>2</w:t>
      </w:r>
      <w:r>
        <w:rPr>
          <w:rFonts w:hint="default" w:ascii="Arial" w:hAnsi="Arial" w:cs="Arial"/>
          <w:color w:val="auto"/>
          <w:sz w:val="36"/>
          <w:szCs w:val="36"/>
          <w:shd w:val="clear" w:color="auto" w:fill="FFFFFF"/>
        </w:rPr>
        <w:t>年决算公开</w:t>
      </w:r>
    </w:p>
    <w:p>
      <w:pPr>
        <w:widowControl/>
        <w:shd w:val="clear" w:color="auto" w:fill="FFFFFF"/>
        <w:spacing w:line="420" w:lineRule="atLeast"/>
        <w:jc w:val="center"/>
        <w:rPr>
          <w:rStyle w:val="9"/>
          <w:rFonts w:ascii="Arial" w:hAnsi="Arial" w:eastAsia="宋体" w:cs="Arial"/>
          <w:color w:val="000000"/>
          <w:kern w:val="0"/>
          <w:sz w:val="33"/>
          <w:szCs w:val="33"/>
          <w:shd w:val="clear" w:color="auto" w:fill="FFFFFF"/>
        </w:rPr>
      </w:pPr>
    </w:p>
    <w:p>
      <w:pPr>
        <w:widowControl/>
        <w:shd w:val="clear" w:color="auto" w:fill="FFFFFF"/>
        <w:spacing w:line="420" w:lineRule="atLeast"/>
        <w:jc w:val="center"/>
        <w:rPr>
          <w:rFonts w:ascii="Arial" w:hAnsi="Arial" w:cs="Arial"/>
          <w:color w:val="000000"/>
          <w:szCs w:val="21"/>
        </w:rPr>
      </w:pPr>
      <w:r>
        <w:rPr>
          <w:rStyle w:val="9"/>
          <w:rFonts w:ascii="Arial" w:hAnsi="Arial" w:eastAsia="宋体" w:cs="Arial"/>
          <w:color w:val="000000"/>
          <w:kern w:val="0"/>
          <w:sz w:val="33"/>
          <w:szCs w:val="33"/>
          <w:shd w:val="clear" w:color="auto" w:fill="FFFFFF"/>
        </w:rPr>
        <w:t>目 　　录</w:t>
      </w:r>
    </w:p>
    <w:p>
      <w:pPr>
        <w:keepNext w:val="0"/>
        <w:keepLines w:val="0"/>
        <w:pageBreakBefore w:val="0"/>
        <w:widowControl w:val="0"/>
        <w:shd w:val="clear" w:color="auto" w:fill="auto"/>
        <w:kinsoku/>
        <w:wordWrap/>
        <w:overflowPunct/>
        <w:topLinePunct w:val="0"/>
        <w:autoSpaceDE/>
        <w:autoSpaceDN/>
        <w:bidi w:val="0"/>
        <w:spacing w:before="240" w:after="240" w:line="360" w:lineRule="auto"/>
        <w:ind w:left="630" w:leftChars="300" w:firstLine="5" w:firstLineChars="2"/>
        <w:jc w:val="both"/>
        <w:textAlignment w:val="auto"/>
        <w:outlineLvl w:val="9"/>
        <w:rPr>
          <w:rFonts w:hint="eastAsia" w:ascii="黑体" w:hAnsi="黑体" w:eastAsia="黑体" w:cs="黑体"/>
          <w:sz w:val="28"/>
          <w:szCs w:val="28"/>
        </w:rPr>
      </w:pPr>
      <w:r>
        <w:rPr>
          <w:rStyle w:val="8"/>
          <w:rFonts w:hint="eastAsia" w:ascii="黑体" w:hAnsi="黑体" w:eastAsia="黑体" w:cs="黑体"/>
          <w:sz w:val="28"/>
          <w:szCs w:val="28"/>
          <w:rtl w:val="0"/>
        </w:rPr>
        <w:t>第一部分</w:t>
      </w:r>
      <w:r>
        <w:rPr>
          <w:rStyle w:val="8"/>
          <w:rFonts w:hint="eastAsia" w:ascii="黑体" w:hAnsi="黑体" w:eastAsia="黑体" w:cs="黑体"/>
          <w:sz w:val="28"/>
          <w:szCs w:val="28"/>
          <w:rtl w:val="0"/>
          <w:lang w:val="en-US" w:eastAsia="en-US"/>
        </w:rPr>
        <w:t> </w:t>
      </w:r>
      <w:r>
        <w:rPr>
          <w:rStyle w:val="8"/>
          <w:rFonts w:hint="eastAsia" w:ascii="黑体" w:hAnsi="黑体" w:eastAsia="黑体" w:cs="黑体"/>
          <w:sz w:val="28"/>
          <w:szCs w:val="28"/>
          <w:u w:val="none"/>
          <w:rtl w:val="0"/>
          <w:lang w:val="en-US" w:eastAsia="zh-CN"/>
        </w:rPr>
        <w:t>下陆区发展和改革局</w:t>
      </w:r>
      <w:r>
        <w:rPr>
          <w:rStyle w:val="8"/>
          <w:rFonts w:hint="eastAsia" w:ascii="黑体" w:hAnsi="黑体" w:eastAsia="黑体" w:cs="黑体"/>
          <w:sz w:val="28"/>
          <w:szCs w:val="28"/>
          <w:u w:val="none"/>
          <w:rtl w:val="0"/>
        </w:rPr>
        <w:t>概况</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一、部门主要</w:t>
      </w:r>
      <w:r>
        <w:rPr>
          <w:rFonts w:hint="eastAsia" w:ascii="宋体" w:hAnsi="宋体" w:eastAsia="宋体" w:cs="宋体"/>
          <w:bCs/>
          <w:sz w:val="28"/>
          <w:szCs w:val="28"/>
          <w:highlight w:val="none"/>
          <w:rtl w:val="0"/>
          <w:lang w:eastAsia="zh-CN"/>
        </w:rPr>
        <w:t>职责</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二、</w:t>
      </w:r>
      <w:r>
        <w:rPr>
          <w:rFonts w:hint="eastAsia" w:ascii="宋体" w:hAnsi="宋体" w:eastAsia="宋体" w:cs="宋体"/>
          <w:bCs/>
          <w:sz w:val="28"/>
          <w:szCs w:val="28"/>
          <w:highlight w:val="none"/>
          <w:rtl w:val="0"/>
          <w:lang w:eastAsia="zh-CN"/>
        </w:rPr>
        <w:t>机构设置情况</w:t>
      </w:r>
    </w:p>
    <w:p>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8"/>
          <w:rFonts w:hint="eastAsia" w:ascii="黑体" w:hAnsi="黑体" w:eastAsia="黑体" w:cs="黑体"/>
          <w:sz w:val="28"/>
          <w:szCs w:val="28"/>
          <w:rtl w:val="0"/>
        </w:rPr>
      </w:pPr>
      <w:r>
        <w:rPr>
          <w:rStyle w:val="8"/>
          <w:rFonts w:hint="eastAsia" w:ascii="黑体" w:hAnsi="黑体" w:eastAsia="黑体" w:cs="黑体"/>
          <w:sz w:val="28"/>
          <w:szCs w:val="28"/>
          <w:rtl w:val="0"/>
        </w:rPr>
        <w:t>第二部分</w:t>
      </w:r>
      <w:r>
        <w:rPr>
          <w:rStyle w:val="8"/>
          <w:rFonts w:hint="eastAsia" w:ascii="黑体" w:hAnsi="黑体" w:eastAsia="黑体" w:cs="黑体"/>
          <w:sz w:val="28"/>
          <w:szCs w:val="28"/>
          <w:rtl w:val="0"/>
          <w:lang w:val="en-US" w:eastAsia="en-US"/>
        </w:rPr>
        <w:t> </w:t>
      </w:r>
      <w:r>
        <w:rPr>
          <w:rStyle w:val="8"/>
          <w:rFonts w:hint="eastAsia" w:ascii="黑体" w:hAnsi="黑体" w:eastAsia="黑体" w:cs="黑体"/>
          <w:sz w:val="28"/>
          <w:szCs w:val="28"/>
          <w:u w:val="none"/>
          <w:rtl w:val="0"/>
          <w:lang w:val="en-US" w:eastAsia="zh-CN"/>
        </w:rPr>
        <w:t>下陆区发展和改革局</w:t>
      </w:r>
      <w:r>
        <w:rPr>
          <w:rStyle w:val="8"/>
          <w:rFonts w:hint="eastAsia" w:ascii="黑体" w:hAnsi="黑体" w:eastAsia="黑体" w:cs="黑体"/>
          <w:sz w:val="28"/>
          <w:szCs w:val="28"/>
          <w:rtl w:val="0"/>
          <w:lang w:val="en-US" w:eastAsia="en-US"/>
        </w:rPr>
        <w:t>20</w:t>
      </w:r>
      <w:r>
        <w:rPr>
          <w:rStyle w:val="8"/>
          <w:rFonts w:hint="eastAsia" w:ascii="黑体" w:hAnsi="黑体" w:eastAsia="黑体" w:cs="黑体"/>
          <w:sz w:val="28"/>
          <w:szCs w:val="28"/>
          <w:rtl w:val="0"/>
          <w:lang w:val="en-US" w:eastAsia="zh-CN"/>
        </w:rPr>
        <w:t>22</w:t>
      </w:r>
      <w:r>
        <w:rPr>
          <w:rStyle w:val="8"/>
          <w:rFonts w:hint="eastAsia" w:ascii="黑体" w:hAnsi="黑体" w:eastAsia="黑体" w:cs="黑体"/>
          <w:sz w:val="28"/>
          <w:szCs w:val="28"/>
          <w:rtl w:val="0"/>
        </w:rPr>
        <w:t>年度部门决算表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default"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pPr>
      <w:r>
        <w:rPr>
          <w:rStyle w:val="8"/>
          <w:rFonts w:hint="eastAsia" w:ascii="黑体" w:hAnsi="黑体" w:eastAsia="黑体" w:cs="黑体"/>
          <w:sz w:val="28"/>
          <w:szCs w:val="28"/>
          <w:rtl w:val="0"/>
        </w:rPr>
        <w:t>第三部分</w:t>
      </w:r>
      <w:r>
        <w:rPr>
          <w:rStyle w:val="8"/>
          <w:rFonts w:hint="eastAsia" w:ascii="黑体" w:hAnsi="黑体" w:eastAsia="黑体" w:cs="黑体"/>
          <w:sz w:val="28"/>
          <w:szCs w:val="28"/>
          <w:rtl w:val="0"/>
          <w:lang w:val="en-US" w:eastAsia="en-US"/>
        </w:rPr>
        <w:t> </w:t>
      </w:r>
      <w:r>
        <w:rPr>
          <w:rStyle w:val="8"/>
          <w:rFonts w:hint="eastAsia" w:ascii="黑体" w:hAnsi="黑体" w:eastAsia="黑体" w:cs="黑体"/>
          <w:sz w:val="28"/>
          <w:szCs w:val="28"/>
          <w:u w:val="none"/>
          <w:rtl w:val="0"/>
          <w:lang w:val="en-US" w:eastAsia="zh-CN"/>
        </w:rPr>
        <w:t>下陆区发展和改革局</w:t>
      </w:r>
      <w:r>
        <w:rPr>
          <w:rStyle w:val="8"/>
          <w:rFonts w:hint="eastAsia" w:ascii="黑体" w:hAnsi="黑体" w:eastAsia="黑体" w:cs="黑体"/>
          <w:sz w:val="28"/>
          <w:szCs w:val="28"/>
          <w:rtl w:val="0"/>
          <w:lang w:val="en-US" w:eastAsia="en-US"/>
        </w:rPr>
        <w:t>20</w:t>
      </w:r>
      <w:r>
        <w:rPr>
          <w:rStyle w:val="8"/>
          <w:rFonts w:hint="eastAsia" w:ascii="黑体" w:hAnsi="黑体" w:eastAsia="黑体" w:cs="黑体"/>
          <w:sz w:val="28"/>
          <w:szCs w:val="28"/>
          <w:rtl w:val="0"/>
          <w:lang w:val="en-US" w:eastAsia="zh-CN"/>
        </w:rPr>
        <w:t>22</w:t>
      </w:r>
      <w:r>
        <w:rPr>
          <w:rStyle w:val="8"/>
          <w:rFonts w:hint="eastAsia" w:ascii="黑体" w:hAnsi="黑体" w:eastAsia="黑体" w:cs="黑体"/>
          <w:sz w:val="28"/>
          <w:szCs w:val="28"/>
          <w:rtl w:val="0"/>
        </w:rPr>
        <w:t>年度部门决算情况说明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8"/>
          <w:rFonts w:hint="eastAsia" w:ascii="黑体" w:hAnsi="黑体" w:eastAsia="黑体" w:cs="黑体"/>
          <w:sz w:val="28"/>
          <w:szCs w:val="28"/>
          <w:rtl w:val="0"/>
          <w:lang w:val="en-US" w:eastAsia="zh-CN"/>
        </w:rPr>
      </w:pPr>
      <w:r>
        <w:rPr>
          <w:rStyle w:val="8"/>
          <w:rFonts w:hint="eastAsia" w:ascii="黑体" w:hAnsi="黑体" w:eastAsia="黑体" w:cs="黑体"/>
          <w:sz w:val="28"/>
          <w:szCs w:val="28"/>
          <w:rtl w:val="0"/>
          <w:lang w:val="en-US" w:eastAsia="zh-CN"/>
        </w:rPr>
        <w:t>第四部分</w:t>
      </w:r>
      <w:r>
        <w:rPr>
          <w:rStyle w:val="8"/>
          <w:rFonts w:hint="eastAsia" w:ascii="黑体" w:hAnsi="黑体" w:eastAsia="黑体" w:cs="黑体"/>
          <w:sz w:val="28"/>
          <w:szCs w:val="28"/>
          <w:rtl w:val="0"/>
          <w:lang w:val="en-US" w:eastAsia="en-US"/>
        </w:rPr>
        <w:t>  </w:t>
      </w:r>
      <w:r>
        <w:rPr>
          <w:rStyle w:val="8"/>
          <w:rFonts w:hint="eastAsia" w:ascii="黑体" w:hAnsi="黑体" w:eastAsia="黑体" w:cs="黑体"/>
          <w:sz w:val="28"/>
          <w:szCs w:val="28"/>
          <w:rtl w:val="0"/>
          <w:lang w:val="en-US" w:eastAsia="zh-CN"/>
        </w:rPr>
        <w:t>名词解释</w:t>
      </w:r>
    </w:p>
    <w:p>
      <w:pPr>
        <w:widowControl/>
        <w:shd w:val="clear" w:color="auto" w:fill="FFFFFF"/>
        <w:spacing w:before="300" w:line="420" w:lineRule="atLeast"/>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p>
    <w:p>
      <w:pPr>
        <w:widowControl/>
        <w:shd w:val="clear" w:color="auto" w:fill="FFFFFF"/>
        <w:spacing w:line="420" w:lineRule="atLeast"/>
        <w:jc w:val="center"/>
        <w:rPr>
          <w:rStyle w:val="9"/>
          <w:rFonts w:ascii="Arial" w:hAnsi="Arial" w:eastAsia="宋体" w:cs="Arial"/>
          <w:color w:val="000000"/>
          <w:kern w:val="0"/>
          <w:sz w:val="24"/>
          <w:shd w:val="clear" w:color="auto" w:fill="FFFFFF"/>
        </w:rPr>
      </w:pPr>
    </w:p>
    <w:p>
      <w:pPr>
        <w:keepNext w:val="0"/>
        <w:keepLines w:val="0"/>
        <w:widowControl/>
        <w:suppressLineNumbers w:val="0"/>
        <w:jc w:val="left"/>
      </w:pPr>
      <w:r>
        <w:rPr>
          <w:rFonts w:ascii="Arial" w:hAnsi="Arial" w:eastAsia="宋体" w:cs="Arial"/>
          <w:color w:val="000000"/>
          <w:kern w:val="0"/>
          <w:szCs w:val="21"/>
          <w:shd w:val="clear" w:color="auto" w:fill="FFFFFF"/>
        </w:rPr>
        <w:br w:type="textWrapping"/>
      </w:r>
      <w:r>
        <w:rPr>
          <w:rStyle w:val="9"/>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黄石市下陆区发展和改革局是贯彻执行党和国家以及区委、区政府有关的部门。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1．主要职能。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拟订并组织实施区国民经济和社会发展战略、中长期规划和年度计划。牵头组织统一规划体系建设。负责区级专项规划、区域规划、空间规划与区级发展规划的统筹衔接。起草国民经济和社会发展、经济体制改革的有关地方规范性文件。</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（二）提出加快建设全区现代化经济体系、推动高质量发展的总体目标、重大任务以及相关政策。组织开展重大战略规划、重大政策、重大工程等评估督导，提出相关调整建议。</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统筹提出全区国民经济和社会发展主要目标，监测预测预警全区经济和社会发展态势趋势，提岀调控管理政策建议。综合协调落实经济政策，牵头研究宏观经济应对措施。调节全区经济运行，协调解决经济运行中的重大问题。按权限组织实施有关价格政策。</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指导推进和综合协调全区经济体制改革有关工作,提出相关改革建议。牵头推进供给侧结构性改革。协调推进全区产权制度和要素市场化配置改革。推动完善全区基本经济制度和现代市场体系建设，会同相关部门组织实施市场准入负面清单制度。牵头推进全区优化营商环境工作。协调推进长乐山工业园发展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（五）实施全区利用外资和境外投资的战略、规划和结构优化政策，牵头推进落实区参与“一带一路”建设工作.承担统筹协调“走出去”有关工作，会同有关部门落实外商投资准入负面清单。</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（六）负责全区投资综合管理，拟订全区社会固定资产投资总规模、结构调控目标和政策。按规定权限审批、审核重大项目。规划重大项目建设和生产力布局。贯彻落实国家、省、市鼓励民间投资政策措施。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（七）推进落实区域协调发展战略和重大政策.组织拟订区级相关区域规划和政策。统筹协调区域合作，统筹推进实施国家和省市重大区域发展战略。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组织拟订全区综合性产业政策。协调一二三产业发展重大问题并统筹衔接相关发展规划和重大政策。协调推进全区重大基础设施建设发展，组织拟订并推动实施全区服务业战略、规划及重大政策。综合研判全区消费变动趋势，拟定实施促进消费的综合性政策措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推动落实创新驱动发展战略。会同相关部门拟订推进创新创业的规划和政策，提出创新发展和培育经济发展新动能的政策。会同有关部门推进落实国家、省、市重大科技基础设施建设规划和政策。推动实施全区高技术产业和战略性新兴产业发展规划政策，协调产业升级、重大技术装备推广应用等方面的重大问题。</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跟踪研判涉及全区经济安全、生态安全、资源安全、科技安全、社会安全等各类风险隐患，提出相关工作建议。协调落实重要商品总量平衡和宏观调控，以及重要工业品、原材料和重要农产品进出口总量计划调控措施。会同有关部门拟定区级储备物资品种目录、总体发展规划。</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负责全区社会发展与国民经济发展的政策衔接，协调有关重大问题。组织拟订全区社会发展段略、总体规划，统筹推进基本公共服务体系建设和收入分配制度改革，提出促进就业、完善社会保障与经济协调发展的政策建议。</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（十二）推进实施可持续发展战略，协调生态环境保护与修复、能源资源节约和综合利用等工作。提出健全全区生态保护补偿机制的政策措施，综合协调环保产业和清洁生产促进有关工作。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三）负责新能源行业管理及固定资产投资管理。研究全区能源体制改革重大问题，拟定有关改革方案并组织实施。参与编制和实施能源总量控制方案，承担能源保障供应、预测预警工作。组织推进全区能源重大设备和项目研发，协调实施重大项目示范工程。协调上级发改部门制定定全区天然气储备规划并组织实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（十四）配合实施军民融合发展战略，协调和组织实施全区国民经济动员、国防交通保障规划、协调和组织实施全区国民经济公园、交通战备有关工作。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（十五）牵头开展全区社会信用体系建设，研究提出全区社会会信用体系建设规划并协调组织全区各成员单位实施。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（十六）承担全区推动长江经济带发展领导小组办公室、区重点项目建设领导小组办公室、区社会信用体系建设领导小组办公室、区产业转型升级示范区领导小组办公室等工作。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（十七）完成上级交办的其他任务。</w:t>
      </w: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二、部门机构设置情况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1、机构设置情况：下陆区发展和改革局是区政府工作部门，为正科级，只归口管理本级部门。本单位内设置办公室、综合科、财务室等内设科室。</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2、编制情况：下陆区发展和改革局核定编制数为7名，其中行政编4名，事业编制3名。202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年年末在职在编人员</w:t>
      </w:r>
      <w:r>
        <w:rPr>
          <w:rFonts w:hint="eastAsia" w:ascii="宋体" w:hAnsi="宋体" w:eastAsia="宋体" w:cs="宋体"/>
          <w:color w:val="000000"/>
          <w:kern w:val="0"/>
          <w:sz w:val="28"/>
          <w:szCs w:val="28"/>
          <w:shd w:val="clear" w:color="auto" w:fill="FFFFFF"/>
          <w:lang w:val="en-US" w:eastAsia="zh-CN"/>
        </w:rPr>
        <w:t>7</w:t>
      </w:r>
      <w:r>
        <w:rPr>
          <w:rFonts w:hint="eastAsia" w:ascii="宋体" w:hAnsi="宋体" w:eastAsia="宋体" w:cs="宋体"/>
          <w:color w:val="000000"/>
          <w:kern w:val="0"/>
          <w:sz w:val="28"/>
          <w:szCs w:val="28"/>
          <w:shd w:val="clear" w:color="auto" w:fill="FFFFFF"/>
        </w:rPr>
        <w:t>人，政府雇员2人，退休人员3人（已全部转入机关事业单位养老保险发放养老金）。</w:t>
      </w: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第二部分:部门202</w:t>
      </w:r>
      <w:r>
        <w:rPr>
          <w:rStyle w:val="9"/>
          <w:rFonts w:hint="eastAsia" w:ascii="宋体" w:hAnsi="宋体" w:eastAsia="宋体" w:cs="宋体"/>
          <w:color w:val="000000"/>
          <w:kern w:val="0"/>
          <w:sz w:val="28"/>
          <w:szCs w:val="28"/>
          <w:shd w:val="clear" w:color="auto" w:fill="FFFFFF"/>
          <w:lang w:val="en-US" w:eastAsia="zh-CN"/>
        </w:rPr>
        <w:t>2</w:t>
      </w:r>
      <w:r>
        <w:rPr>
          <w:rStyle w:val="9"/>
          <w:rFonts w:hint="eastAsia" w:ascii="宋体" w:hAnsi="宋体" w:eastAsia="宋体" w:cs="宋体"/>
          <w:color w:val="000000"/>
          <w:kern w:val="0"/>
          <w:sz w:val="28"/>
          <w:szCs w:val="28"/>
          <w:shd w:val="clear" w:color="auto" w:fill="FFFFFF"/>
        </w:rPr>
        <w:t>年部门决算表</w:t>
      </w:r>
      <w:r>
        <w:rPr>
          <w:rStyle w:val="9"/>
          <w:rFonts w:hint="eastAsia" w:ascii="宋体" w:hAnsi="宋体" w:eastAsia="宋体" w:cs="宋体"/>
          <w:color w:val="000000"/>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60085" cy="6083935"/>
            <wp:effectExtent l="0" t="0" r="12065" b="1206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760085" cy="6083935"/>
                    </a:xfrm>
                    <a:prstGeom prst="rect">
                      <a:avLst/>
                    </a:prstGeom>
                    <a:noFill/>
                    <a:ln w="9525">
                      <a:noFill/>
                    </a:ln>
                  </pic:spPr>
                </pic:pic>
              </a:graphicData>
            </a:graphic>
          </wp:inline>
        </w:drawing>
      </w:r>
    </w:p>
    <w:p>
      <w:pPr>
        <w:keepNext w:val="0"/>
        <w:keepLines w:val="0"/>
        <w:widowControl/>
        <w:suppressLineNumbers w:val="0"/>
        <w:jc w:val="left"/>
      </w:pPr>
      <w:r>
        <w:rPr>
          <w:rFonts w:hint="eastAsia"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3668395"/>
            <wp:effectExtent l="0" t="0" r="12065" b="825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5"/>
                    <a:stretch>
                      <a:fillRect/>
                    </a:stretch>
                  </pic:blipFill>
                  <pic:spPr>
                    <a:xfrm>
                      <a:off x="0" y="0"/>
                      <a:ext cx="5760085" cy="3668395"/>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179570"/>
            <wp:effectExtent l="0" t="0" r="12065" b="1143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6"/>
                    <a:stretch>
                      <a:fillRect/>
                    </a:stretch>
                  </pic:blipFill>
                  <pic:spPr>
                    <a:xfrm>
                      <a:off x="0" y="0"/>
                      <a:ext cx="5760085" cy="4179570"/>
                    </a:xfrm>
                    <a:prstGeom prst="rect">
                      <a:avLst/>
                    </a:prstGeom>
                    <a:noFill/>
                    <a:ln w="9525">
                      <a:noFill/>
                    </a:ln>
                  </pic:spPr>
                </pic:pic>
              </a:graphicData>
            </a:graphic>
          </wp:inline>
        </w:drawing>
      </w:r>
    </w:p>
    <w:p>
      <w:pPr>
        <w:rPr>
          <w:rStyle w:val="9"/>
          <w:rFonts w:hint="default" w:ascii="Arial" w:hAnsi="Arial" w:eastAsia="宋体" w:cs="Arial"/>
          <w:i w:val="0"/>
          <w:caps w:val="0"/>
          <w:color w:val="000000"/>
          <w:spacing w:val="0"/>
          <w:sz w:val="27"/>
          <w:szCs w:val="27"/>
          <w:shd w:val="clear"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468620"/>
            <wp:effectExtent l="0" t="0" r="12065" b="17780"/>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7"/>
                    <a:stretch>
                      <a:fillRect/>
                    </a:stretch>
                  </pic:blipFill>
                  <pic:spPr>
                    <a:xfrm>
                      <a:off x="0" y="0"/>
                      <a:ext cx="5760085" cy="5468620"/>
                    </a:xfrm>
                    <a:prstGeom prst="rect">
                      <a:avLst/>
                    </a:prstGeom>
                    <a:noFill/>
                    <a:ln w="9525">
                      <a:noFill/>
                    </a:ln>
                  </pic:spPr>
                </pic:pic>
              </a:graphicData>
            </a:graphic>
          </wp:inline>
        </w:drawing>
      </w:r>
    </w:p>
    <w:p>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507230"/>
            <wp:effectExtent l="0" t="0" r="12065" b="7620"/>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8"/>
                    <a:stretch>
                      <a:fillRect/>
                    </a:stretch>
                  </pic:blipFill>
                  <pic:spPr>
                    <a:xfrm>
                      <a:off x="0" y="0"/>
                      <a:ext cx="5760085" cy="450723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442460"/>
            <wp:effectExtent l="0" t="0" r="12065" b="1524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9"/>
                    <a:stretch>
                      <a:fillRect/>
                    </a:stretch>
                  </pic:blipFill>
                  <pic:spPr>
                    <a:xfrm>
                      <a:off x="0" y="0"/>
                      <a:ext cx="5760085" cy="4442460"/>
                    </a:xfrm>
                    <a:prstGeom prst="rect">
                      <a:avLst/>
                    </a:prstGeom>
                    <a:noFill/>
                    <a:ln w="9525">
                      <a:noFill/>
                    </a:ln>
                  </pic:spPr>
                </pic:pic>
              </a:graphicData>
            </a:graphic>
          </wp:inline>
        </w:drawing>
      </w:r>
    </w:p>
    <w:p>
      <w:pPr>
        <w:keepNext w:val="0"/>
        <w:keepLines w:val="0"/>
        <w:widowControl/>
        <w:suppressLineNumbers w:val="0"/>
        <w:jc w:val="left"/>
        <w:rPr>
          <w:rStyle w:val="9"/>
          <w:rFonts w:hint="default" w:ascii="Arial" w:hAnsi="Arial" w:eastAsia="宋体" w:cs="Arial"/>
          <w:i w:val="0"/>
          <w:caps w:val="0"/>
          <w:color w:val="000000"/>
          <w:spacing w:val="0"/>
          <w:sz w:val="27"/>
          <w:szCs w:val="27"/>
          <w:shd w:val="clear"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09285" cy="2280920"/>
            <wp:effectExtent l="0" t="0" r="571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709285" cy="2280920"/>
                    </a:xfrm>
                    <a:prstGeom prst="rect">
                      <a:avLst/>
                    </a:prstGeom>
                    <a:noFill/>
                    <a:ln w="9525">
                      <a:noFill/>
                    </a:ln>
                  </pic:spPr>
                </pic:pic>
              </a:graphicData>
            </a:graphic>
          </wp:inline>
        </w:drawing>
      </w:r>
    </w:p>
    <w:p>
      <w:pPr>
        <w:keepNext w:val="0"/>
        <w:keepLines w:val="0"/>
        <w:widowControl/>
        <w:suppressLineNumbers w:val="0"/>
        <w:jc w:val="left"/>
        <w:rPr>
          <w:rStyle w:val="9"/>
          <w:rFonts w:hint="default" w:ascii="Arial" w:hAnsi="Arial" w:eastAsia="宋体" w:cs="Arial"/>
          <w:i w:val="0"/>
          <w:caps w:val="0"/>
          <w:color w:val="000000"/>
          <w:spacing w:val="0"/>
          <w:sz w:val="27"/>
          <w:szCs w:val="27"/>
          <w:shd w:val="clear"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26100" cy="2118360"/>
            <wp:effectExtent l="0" t="0" r="12700" b="152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5626100" cy="2118360"/>
                    </a:xfrm>
                    <a:prstGeom prst="rect">
                      <a:avLst/>
                    </a:prstGeom>
                    <a:noFill/>
                    <a:ln w="9525">
                      <a:noFill/>
                    </a:ln>
                  </pic:spPr>
                </pic:pic>
              </a:graphicData>
            </a:graphic>
          </wp:inline>
        </w:drawing>
      </w:r>
    </w:p>
    <w:p>
      <w:pPr>
        <w:keepNext w:val="0"/>
        <w:keepLines w:val="0"/>
        <w:widowControl/>
        <w:suppressLineNumbers w:val="0"/>
        <w:jc w:val="left"/>
        <w:rPr>
          <w:rStyle w:val="9"/>
          <w:rFonts w:hint="default" w:ascii="Arial" w:hAnsi="Arial" w:eastAsia="宋体" w:cs="Arial"/>
          <w:i w:val="0"/>
          <w:caps w:val="0"/>
          <w:color w:val="000000"/>
          <w:spacing w:val="0"/>
          <w:sz w:val="27"/>
          <w:szCs w:val="27"/>
          <w:shd w:val="clear" w:fill="FFFFFF"/>
        </w:rPr>
      </w:pPr>
    </w:p>
    <w:p>
      <w:pPr>
        <w:keepNext w:val="0"/>
        <w:keepLines w:val="0"/>
        <w:widowControl/>
        <w:suppressLineNumbers w:val="0"/>
        <w:jc w:val="left"/>
        <w:rPr>
          <w:rStyle w:val="9"/>
          <w:rFonts w:hint="default" w:ascii="Arial" w:hAnsi="Arial" w:eastAsia="宋体" w:cs="Arial"/>
          <w:i w:val="0"/>
          <w:caps w:val="0"/>
          <w:color w:val="000000"/>
          <w:spacing w:val="0"/>
          <w:sz w:val="27"/>
          <w:szCs w:val="27"/>
          <w:shd w:val="clear" w:fill="FFFFFF"/>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94985" cy="1803400"/>
            <wp:effectExtent l="0" t="0" r="571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5594985" cy="1803400"/>
                    </a:xfrm>
                    <a:prstGeom prst="rect">
                      <a:avLst/>
                    </a:prstGeom>
                    <a:noFill/>
                    <a:ln w="9525">
                      <a:noFill/>
                    </a:ln>
                  </pic:spPr>
                </pic:pic>
              </a:graphicData>
            </a:graphic>
          </wp:inline>
        </w:drawing>
      </w:r>
    </w:p>
    <w:p>
      <w:pPr>
        <w:shd w:val="clear" w:color="auto" w:fill="auto"/>
        <w:adjustRightInd w:val="0"/>
        <w:snapToGrid w:val="0"/>
        <w:spacing w:line="580" w:lineRule="atLeast"/>
        <w:ind w:firstLine="542" w:firstLineChars="200"/>
        <w:rPr>
          <w:rFonts w:hint="eastAsia" w:ascii="黑体" w:hAnsi="黑体" w:eastAsia="黑体" w:cs="黑体"/>
          <w:bCs/>
          <w:sz w:val="32"/>
          <w:szCs w:val="32"/>
          <w:highlight w:val="none"/>
          <w:lang w:val="en-US" w:eastAsia="zh-CN"/>
        </w:rPr>
      </w:pPr>
      <w:r>
        <w:rPr>
          <w:rStyle w:val="9"/>
          <w:rFonts w:hint="default" w:ascii="Arial" w:hAnsi="Arial" w:eastAsia="宋体" w:cs="Arial"/>
          <w:i w:val="0"/>
          <w:caps w:val="0"/>
          <w:color w:val="000000"/>
          <w:spacing w:val="0"/>
          <w:sz w:val="27"/>
          <w:szCs w:val="27"/>
          <w:shd w:val="clear" w:fill="FFFFFF"/>
        </w:rPr>
        <w:br w:type="textWrapping"/>
      </w:r>
      <w:r>
        <w:rPr>
          <w:rStyle w:val="9"/>
          <w:rFonts w:hint="eastAsia" w:ascii="宋体" w:hAnsi="宋体" w:eastAsia="宋体" w:cs="宋体"/>
          <w:color w:val="000000"/>
          <w:kern w:val="0"/>
          <w:sz w:val="28"/>
          <w:szCs w:val="28"/>
          <w:shd w:val="clear" w:color="auto" w:fill="FFFFFF"/>
        </w:rPr>
        <w:t>第三部分：部门202</w:t>
      </w:r>
      <w:r>
        <w:rPr>
          <w:rStyle w:val="9"/>
          <w:rFonts w:hint="eastAsia" w:ascii="宋体" w:hAnsi="宋体" w:eastAsia="宋体" w:cs="宋体"/>
          <w:color w:val="000000"/>
          <w:kern w:val="0"/>
          <w:sz w:val="28"/>
          <w:szCs w:val="28"/>
          <w:shd w:val="clear" w:color="auto" w:fill="FFFFFF"/>
          <w:lang w:val="en-US" w:eastAsia="zh-CN"/>
        </w:rPr>
        <w:t>2</w:t>
      </w:r>
      <w:r>
        <w:rPr>
          <w:rStyle w:val="9"/>
          <w:rFonts w:hint="eastAsia" w:ascii="宋体" w:hAnsi="宋体" w:eastAsia="宋体" w:cs="宋体"/>
          <w:color w:val="000000"/>
          <w:kern w:val="0"/>
          <w:sz w:val="28"/>
          <w:szCs w:val="28"/>
          <w:shd w:val="clear" w:color="auto" w:fill="FFFFFF"/>
        </w:rPr>
        <w:t>年部门决算情况说明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b/>
          <w:bCs w:val="0"/>
          <w:sz w:val="28"/>
          <w:szCs w:val="28"/>
          <w:highlight w:val="none"/>
          <w:lang w:val="en-US" w:eastAsia="zh-CN"/>
        </w:rPr>
        <w:t>一、收入支出决算总体情况说明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2022年度收、支总计均为864.93万元。与2021年度相比，收入总计减少1684.62万元，下降66.1%，主要原因是去年有中央基建投资专项资金。支出总计减少1742.93万元，</w:t>
      </w:r>
      <w:bookmarkStart w:id="0" w:name="_GoBack"/>
      <w:bookmarkEnd w:id="0"/>
      <w:r>
        <w:rPr>
          <w:rFonts w:hint="eastAsia" w:ascii="仿宋_GB2312" w:hAnsi="仿宋" w:eastAsia="仿宋_GB2312" w:cs="仿宋"/>
          <w:sz w:val="32"/>
          <w:szCs w:val="32"/>
          <w:lang w:val="en-US" w:eastAsia="zh-CN"/>
        </w:rPr>
        <w:t>下降66.8%，主要原因是去年有中央基建投资专项资金。</w:t>
      </w:r>
    </w:p>
    <w:p>
      <w:pPr>
        <w:numPr>
          <w:ilvl w:val="0"/>
          <w:numId w:val="0"/>
        </w:num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Fonts w:hint="eastAsia" w:ascii="宋体" w:hAnsi="宋体" w:eastAsia="宋体" w:cs="宋体"/>
          <w:b/>
          <w:bCs w:val="0"/>
          <w:sz w:val="28"/>
          <w:szCs w:val="28"/>
          <w:highlight w:val="none"/>
          <w:lang w:val="en-US" w:eastAsia="zh-CN"/>
        </w:rPr>
        <w:t>二、收入决算情况说明</w:t>
      </w:r>
    </w:p>
    <w:p>
      <w:pPr>
        <w:shd w:val="clear" w:color="auto" w:fill="auto"/>
        <w:spacing w:line="56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收入合计864.93万元，与2021年度相比，收入合计减少1684.62万元，下降66.1%。其中：财政拨款收入554.93万元，占本年收入64.2%；上级补助收入0万元，占本年收入0%；事业收入0万元，占本年收入0%；经营收入0万元，占本年收入0%；附属单位上缴收入0万元，占本年收入0%；其他收入310万元，占本年收入35.8%。</w:t>
      </w:r>
    </w:p>
    <w:p>
      <w:pPr>
        <w:shd w:val="clear" w:color="auto" w:fill="auto"/>
        <w:bidi w:val="0"/>
        <w:ind w:firstLine="562" w:firstLineChars="200"/>
        <w:rPr>
          <w:rFonts w:hint="eastAsia" w:ascii="黑体" w:hAnsi="黑体" w:eastAsia="黑体" w:cs="黑体"/>
        </w:rPr>
      </w:pPr>
      <w:r>
        <w:rPr>
          <w:rFonts w:hint="eastAsia" w:ascii="宋体" w:hAnsi="宋体" w:eastAsia="宋体" w:cs="宋体"/>
          <w:b/>
          <w:bCs w:val="0"/>
          <w:sz w:val="28"/>
          <w:szCs w:val="28"/>
          <w:highlight w:val="none"/>
          <w:lang w:val="en-US" w:eastAsia="zh-CN"/>
        </w:rPr>
        <w:t>三、支出决算情况说明</w:t>
      </w:r>
    </w:p>
    <w:p>
      <w:pPr>
        <w:shd w:val="clear" w:color="auto" w:fill="auto"/>
        <w:bidi w:val="0"/>
        <w:ind w:firstLine="640" w:firstLineChars="200"/>
        <w:rPr>
          <w:rFonts w:hint="eastAsia"/>
          <w:lang w:val="en-US" w:eastAsia="zh-CN"/>
        </w:rPr>
      </w:pPr>
      <w:r>
        <w:rPr>
          <w:rFonts w:hint="eastAsia" w:ascii="仿宋_GB2312" w:hAnsi="仿宋" w:eastAsia="仿宋_GB2312" w:cs="仿宋"/>
          <w:sz w:val="32"/>
          <w:szCs w:val="32"/>
          <w:lang w:val="en-US" w:eastAsia="zh-CN"/>
        </w:rPr>
        <w:t>2022年度支出合计864.93万元，与2021年度相比，支出合计减少1742.93万元，下降66.8%。其中：基本支出461.92万元，占本年支出53.4%；项目支出403万元，占本年支出46.6%；上缴上级支出0万元，占本年支出0%；经营支出0万元，占本年支出0%；对附属单位补助支出0万元，占本年支出0%。</w:t>
      </w:r>
    </w:p>
    <w:p>
      <w:p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四、财政拨款收入支出决算总体情况说明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财政拨款收、支总计均为554.93万元。与2021年度相比，财政拨款收入总计减少1994.62万元，下降78.23%。主要原因是去年有中央基建投资专项资金。与2021年度相比，财政拨款支出总计减少2052.93万元，下降78.72%。主要原因是去年有中央基建投资专项资金。</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财政拨款收入中，一般公共预算财政拨款收入554.93万元，比2021年度决算数减少1994.62万元。减少主要原因是去年有中央基建投资专项资金。政府性基金预算财政拨款收入0万元，与上年决算数对比无增减变化，主要原因是本部门这两年无此经费支出。国有资本经营预算财政拨款收入0万元，与上年决算数对比无增减变化，主要原因是本部门这两年无此经费支出。</w:t>
      </w:r>
    </w:p>
    <w:p>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五、一般公共预算财政拨款支出决算情况说明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（一）一般公共预算财政拨款支出决算总体情况。</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2022年度一般公共预算财政拨款支出554.93万元，占本年支出合计的64.2%。与2021年度相比，一般公共预算财政拨款支出减少2052.93万元，下降78.72%。主要原因是去年有中央基建投资专项资金。</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（二）一般公共预算财政拨款支出决算结构情况。</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2022年度一般公共预算财政拨款支出554.93万元，主要用于以下方面：</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1.一般公共服务（类）支出200.98万元，占36.2%。主要是用于人员经费及日常公用支出。</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2.节能环保支出（类）39.05万元，占7%。主要是用于对辖区企业光伏发电补贴费用。</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3.城乡社区支出（类）93.9万元，占16.9%。主要是用于全区重点项目申报前期费用。</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4.资源勘探工业信息等支出（类）100万元，占18%。主要是用于省级基本建设资金支出。</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5.商业服务业等支出（类）101万元，占18.2%。主要是用于省级服务业发展引导资金。</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6.其他支出（类）20万元，占3.6%。主要是用于项目拉练考评奖励资金。</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（三）一般公共预算财政拨款支出决算具体情况。</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2022年度一般公共预算财政拨款支出年初预算为1256.07万元，支出决算为554.93万元，完成年初预算的44.2%。其中：</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一般公共服务支出(类)政府办公厅（室）及相关机构事务（款）其他政府办公厅（室）及相关机构事务支出（项）。年初预算为0万元，支出决算为4.56万元，无年初预算数，支出决算数大于年初预算数的主要原因：一是无年初预算数；二是此为省重点建设项目目标考核奖励金。</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一般公共服务支出(类)发展与改革事务（款）行政运行（项）。年初预算为187.07万元，支出决算为151.92万元，完成年初预算的81.2%，支出决算数小于年初预算数的主要原因：单位工资改革，2022年没有各项奖励金。</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一般公共服务支出(类)发展与改革事务（款）一般行政管理事务（项）。年初预算为1053万元，支出决算为44.5万元，完成年初预算的4.2%，支出决算数小于年初预算数的主要原因：全区项目申报前期经费是按时结算。</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4.节能环保支出(类)可再生能源（款）可再生能源（项）。年初预算为16万元，支出决算为39.05万元，完成年初预算的244.06%，支出决算数大于年初预算数的主要原因：对辖区企业光伏发电补贴费用。</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城乡社区支出(类)其他城乡社区支出（款）其他城乡社区支出（项）。年初预算为0万元，支出决算为93.9万元，完成年初预算的0%，支出决算数大于年初预算数的主要原因：一是年初无此项业务预算；二是用于全区重点项目申报前期费用。</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资源勘探工业信息等支出(类)制造业（款）其他制造业支出（项）。年初预算为0万元，支出决算为100万元，完成年初预算的0%，支出决算数大于年初预算数的主要原因：一是年初无此项业务预算；二是用于省级基本建设资金支出。</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商业服务业等支出(类)其他商业服务业等支出（款）服务业基础设施建设（项）。年初预算为0万元，支出决算为75万元，完成年初预算的0%，支出决算数大于年初预算数的主要原因：一是年初无此项业务预算；二是用于省级服务业发展引导资金。</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8.商业服务业等支出(类)其他商业服务业等支出（款）其他商业服务业等支出（项）。年初预算为0万元，支出决算为26万元，完成年初预算的0%，支出决算数大于年初预算数的主要原因：一是年初无此项业务预算；二是用于省级服务业发展引导资金。</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9.其他支出(类)其他支出（款）其他支出（项）。年初预算为0万元，支出决算为20万元，完成年初预算的0%，支出决算数大于年初预算数的主要原因：一是年初无此项业务预算；二是用于项目拉练考评奖励资金。</w:t>
      </w:r>
    </w:p>
    <w:p>
      <w:pPr>
        <w:shd w:val="clear" w:color="auto" w:fill="auto"/>
        <w:bidi w:val="0"/>
        <w:ind w:firstLine="562" w:firstLineChars="200"/>
        <w:rPr>
          <w:rFonts w:hint="eastAsia"/>
          <w:lang w:val="en-US" w:eastAsia="zh-CN"/>
        </w:rPr>
      </w:pPr>
      <w:r>
        <w:rPr>
          <w:rFonts w:hint="eastAsia" w:ascii="宋体" w:hAnsi="宋体" w:eastAsia="宋体" w:cs="宋体"/>
          <w:b/>
          <w:bCs w:val="0"/>
          <w:sz w:val="28"/>
          <w:szCs w:val="28"/>
          <w:highlight w:val="none"/>
          <w:lang w:val="en-US" w:eastAsia="zh-CN"/>
        </w:rPr>
        <w:t>六、一般公共预算财政拨款基本支出决算情况说明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2022年度一般公共预算财政拨款基本支出1551.92万元，其中：</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人员经费134.6万元，主要包括：基本工资、津贴补贴、奖金、绩效工资、机关事业单位基本养老保险缴费、职业年金缴费、职工基本医疗保险缴费、公务员医疗补助缴费、其他社会保障缴费、住房公积金、其他工资福利支出、退休费。</w:t>
      </w:r>
    </w:p>
    <w:p>
      <w:pPr>
        <w:shd w:val="clear" w:color="auto" w:fill="auto"/>
        <w:spacing w:line="56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公用经费17.32万元，主要包括：办公费、印刷费、电费、邮电费、维修(护)费、公务接待费、委托业务费、工会经费、福利费、其他交通费用、其他商品和服务支出。</w:t>
      </w:r>
    </w:p>
    <w:p>
      <w:pPr>
        <w:numPr>
          <w:ilvl w:val="0"/>
          <w:numId w:val="0"/>
        </w:numPr>
        <w:shd w:val="clear" w:color="auto" w:fill="auto"/>
        <w:bidi w:val="0"/>
        <w:ind w:firstLine="562" w:firstLineChars="200"/>
        <w:rPr>
          <w:rFonts w:hint="eastAsia" w:ascii="黑体" w:hAnsi="黑体" w:eastAsia="黑体" w:cs="黑体"/>
          <w:sz w:val="32"/>
          <w:szCs w:val="32"/>
          <w:lang w:val="en-US" w:eastAsia="zh-CN"/>
        </w:rPr>
      </w:pPr>
      <w:r>
        <w:rPr>
          <w:rFonts w:hint="eastAsia" w:ascii="宋体" w:hAnsi="宋体" w:eastAsia="宋体" w:cs="宋体"/>
          <w:b/>
          <w:bCs w:val="0"/>
          <w:sz w:val="28"/>
          <w:szCs w:val="28"/>
          <w:highlight w:val="none"/>
          <w:lang w:val="en-US" w:eastAsia="zh-CN"/>
        </w:rPr>
        <w:t>七、政府性基金预算财政拨款收入支出决算情况说明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下陆区发展和改革局当年无政府性基金预算财政拨款收入支出。</w:t>
      </w:r>
    </w:p>
    <w:p>
      <w:pPr>
        <w:numPr>
          <w:ilvl w:val="0"/>
          <w:numId w:val="0"/>
        </w:numPr>
        <w:shd w:val="clear" w:color="auto" w:fill="auto"/>
        <w:bidi w:val="0"/>
        <w:ind w:firstLine="562" w:firstLineChars="20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八、国有资本经营预算财政拨款支出决算情况说明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下陆区发展和改革局当年无国有资本经营预算财政拨款支出。</w:t>
      </w:r>
    </w:p>
    <w:p>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九、一般公共预算财政拨款“三公”经费支出决算情况说明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（一）“三公”经费财政拨款支出决算总体情况说明。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三公”经费财政拨款支出预算为1万元，支出决算为0.81万元，完成预算的81%。较上年0.46万元减少0.35万元，下降76.09%。决算数小于预算数的主要原因：是单位严格执行相关规定，节约费用开支。决算数较上年减少的主要原因：是单位严格执行相关规定，控制招待费开支。</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（二）“三公”经费财政拨款支出决算具体情况说明。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因公出国(境)费预算为0万元，决算数为0万元，支出决算数与本年预算对比无增减变化。与上年决算对比无增减变化。决算数与预算数对比无增减变化的主要原因：本部门当年无因公出国(境)费业务开支。决算数与上年决算数对比无增减变化的主要原因本部门近两年无因公出国(境)费业务开支。</w:t>
      </w:r>
    </w:p>
    <w:p>
      <w:pPr>
        <w:shd w:val="clear" w:color="auto" w:fill="auto"/>
        <w:spacing w:line="56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全年支出涉及出国（境）团组0个，累计0人次，主要是本部门本年无此项业务开展。</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公务用车购置及运行费预算为0万元，支出决算为0万元，支出决算数与本年预算数对比无增减变化。决算数与预算数对比无增减变化的主要原因：本部门当年无此业务发生。与上年决算对比无增减变化。上年决算数与预算数对比无增减变化的主要原因：本部门公车改革后无公务用车购置及运行费预算，也没有此项决算支出。其中：</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(1)公务用车购置费支出0万元，主要是公车改革，部门无公务用车，本部门无此项业务支出。本年度购置(更新)公务用车0辆。</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(2)公务用车运行费支出0万元，主要是公车改革，部门无公务用车，本部门无此项业务支出。截止2022年12月31日，开支财政拨款的公务用车保有量为0辆。</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3.公务接待费预算为1万元，支出决算为0.81万元，完成预算的81%，较上年0.46万元，减少0.35万元，下降76.09%。决算数小于预算数的主要原因：是单位严格执行相关规定，节约费用开支。其中：</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外宾接待支出0万元，主要是本部门无此项业务支出。2022年共接待来访团组0个，0人次（不包括陪同人员）。</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国内公务接待支出0.81万元，接待对象主要是上级检查人员及招商人员，主要是开展本单位上级检查业务及招商业务工作。2022年共接待国内来访团组3个，54人次（不包括陪同人员）。</w:t>
      </w:r>
    </w:p>
    <w:p>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十、机关运行经费支出说明</w:t>
      </w:r>
    </w:p>
    <w:p>
      <w:pPr>
        <w:pStyle w:val="17"/>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本部门2022年度机关运行经费支出17.32万元，与上年决算数9.98万元相比增加7.34万元，主要原因是今年办公费、电费、邮电费、公务接待费、其他交通费等有所增加。比年初预算数21.11万元，减少3.79万元，降低17.95%。主要原因是：单位落实过紧日子要求，压减商品服务支出。主要用于办公费3.71万元，印刷费0.48万元，电费0.29万元，邮电费0.25万元，维修（护）费0.02万元，公务接待费0.45万元，委托业务费0.77万元，工会经费2.92万元，福利费5.47万元，其他交通费2.34万元，其他商品和服务支出0.62万元。</w:t>
      </w:r>
    </w:p>
    <w:p>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十一、政府采购支出说明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部门2022年度政府采购支出总额0.18万元，其中：政府采购货物支出0.18万元、政府采购工程支出0万元、政府采购服务支出0万元。授予中小企业合同金额0.18万元，占政府采购支出总额的100%，其中：授予小微企业合同金额0.18万元，占授予中小企业合同金额的100%；货物采购授予中小企业合同金额占货物支出金额的100%，工程采购授予中小企业合同金额占工程支出金额的0%，服务采购授予中小企业合同金额占服务支出金额的0%。</w:t>
      </w:r>
    </w:p>
    <w:p>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十二、国有资产占用情况说明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截至2022年12月31日，部门共有车辆0辆，其中，副省级及以上领导干部用车0辆、主要领导干部用车0辆、机要通信用车0辆、应急保障用车0辆、执法执勤用车0辆、特种专业技术用车0辆、其他用车0辆，单位价值100万元以上设备（不含车辆）0台（套）。</w:t>
      </w:r>
    </w:p>
    <w:p>
      <w:pPr>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rPr>
        <w:t>十</w:t>
      </w:r>
      <w:r>
        <w:rPr>
          <w:rFonts w:hint="eastAsia" w:ascii="宋体" w:hAnsi="宋体" w:eastAsia="宋体" w:cs="宋体"/>
          <w:color w:val="000000"/>
          <w:kern w:val="0"/>
          <w:sz w:val="28"/>
          <w:szCs w:val="28"/>
          <w:shd w:val="clear" w:color="auto" w:fill="FFFFFF"/>
          <w:lang w:eastAsia="zh-CN"/>
        </w:rPr>
        <w:t>三</w:t>
      </w:r>
      <w:r>
        <w:rPr>
          <w:rFonts w:hint="eastAsia" w:ascii="宋体" w:hAnsi="宋体" w:eastAsia="宋体" w:cs="宋体"/>
          <w:color w:val="000000"/>
          <w:kern w:val="0"/>
          <w:sz w:val="28"/>
          <w:szCs w:val="28"/>
          <w:shd w:val="clear" w:color="auto" w:fill="FFFFFF"/>
        </w:rPr>
        <w:t>、</w:t>
      </w:r>
      <w:r>
        <w:rPr>
          <w:rStyle w:val="9"/>
          <w:rFonts w:hint="eastAsia" w:ascii="宋体" w:hAnsi="宋体" w:eastAsia="宋体" w:cs="宋体"/>
          <w:color w:val="000000"/>
          <w:kern w:val="0"/>
          <w:sz w:val="28"/>
          <w:szCs w:val="28"/>
          <w:shd w:val="clear" w:color="auto" w:fill="FFFFFF"/>
        </w:rPr>
        <w:t>预算绩效情况</w:t>
      </w:r>
      <w:r>
        <w:rPr>
          <w:rStyle w:val="9"/>
          <w:rFonts w:hint="eastAsia" w:ascii="宋体" w:hAnsi="宋体" w:eastAsia="宋体" w:cs="宋体"/>
          <w:color w:val="000000"/>
          <w:kern w:val="0"/>
          <w:sz w:val="28"/>
          <w:szCs w:val="28"/>
          <w:shd w:val="clear" w:color="auto" w:fill="FFFFFF"/>
          <w:lang w:eastAsia="zh-CN"/>
        </w:rPr>
        <w:t>说明</w:t>
      </w: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（一）预算绩效管理工作开展情况</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根据预算绩效管理要求，我单位组织对2022年度一般公共预算项目支出全面开展绩效自评，共涉及项目5个，资金1069万元（其中：一般公共预算拨款1069万元，其他资金0万元，上年结余结转0万元），占一般公共预算项目支出总额的100%。从评价情况来看，2022年各项目绩效目标基本完成，项目立项程序完整、规范，绩效目标明确。预算编制合理，预算执行及时、有效；项目支出绩效自评结果较好，绩效管理水平不断提高，绩效指标体系建设逐渐丰富和完善。</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r>
        <w:rPr>
          <w:rFonts w:hint="eastAsia" w:ascii="宋体" w:hAnsi="宋体" w:eastAsia="宋体" w:cs="宋体"/>
          <w:color w:val="000000"/>
          <w:kern w:val="0"/>
          <w:sz w:val="28"/>
          <w:szCs w:val="28"/>
          <w:shd w:val="clear" w:color="auto" w:fill="FFFFFF"/>
        </w:rPr>
        <w:br w:type="textWrapping"/>
      </w:r>
    </w:p>
    <w:p>
      <w:pPr>
        <w:rPr>
          <w:rFonts w:hint="eastAsia" w:ascii="宋体" w:hAnsi="宋体" w:eastAsia="宋体" w:cs="宋体"/>
          <w:color w:val="000000"/>
          <w:kern w:val="0"/>
          <w:sz w:val="28"/>
          <w:szCs w:val="28"/>
          <w:shd w:val="clear" w:color="auto" w:fill="FFFFFF"/>
          <w:lang w:val="en-US" w:eastAsia="zh-CN"/>
        </w:rPr>
      </w:pPr>
    </w:p>
    <w:tbl>
      <w:tblPr>
        <w:tblStyle w:val="7"/>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576"/>
        <w:gridCol w:w="683"/>
        <w:gridCol w:w="417"/>
        <w:gridCol w:w="2426"/>
        <w:gridCol w:w="2129"/>
        <w:gridCol w:w="666"/>
        <w:gridCol w:w="666"/>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6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2022年下陆区部门整体支出绩效自评表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填报单位（盖章）：</w:t>
            </w:r>
          </w:p>
        </w:tc>
        <w:tc>
          <w:tcPr>
            <w:tcW w:w="3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黄石市下陆区发展和改革局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填报日期：</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2023年7月24日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单位名称</w:t>
            </w:r>
          </w:p>
        </w:tc>
        <w:tc>
          <w:tcPr>
            <w:tcW w:w="58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黄石市下陆区发展和改革局</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评价年度</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22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基本支出决算数总额</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461.92</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项目支出决算数总额</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222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部门整体支出总额预算执行情况（万元）</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执行数（A）</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预算数（B）</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22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864.92</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1256.07</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指标说明</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年初目标值</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预算执行（35分）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预算完成数：部门（单位）本年度实际完成的预算数。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预算数：财政部门批复的本年度部门（单位）预算数。</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预算完成率＝100%的，得10分。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预算完成率≥95%的，得9分。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预算完成率在90%（含）和95%之间，得8分。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预算完成率在85%（含）和90%之间，得7分。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预算完成率在80%（含）和85%之间，得6分。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预算完成率在70%（含）和80%之间，得4分。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预算完成率＜70%的，得0分。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预算包括一般公共预算与政府性基金预算。</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预算调整率绝对值≤5%，得10分。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预算调整率绝对值＞5%的，每增加0.1个百分点扣0.1分，扣完为止。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支出进度率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前三季度进度：进度率≥75%，得6分；进度率在60%（含）和75%之间，得4分；进度率＜60%，得0分。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半年进度率≥45%，前三季度进度率≥75%</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半年进度率≥47%，前三季度进度率≥89%</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预算执行（35分）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预算编制准确率（5分）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预算编制准确率＝其他收入决算数/其他收入预算数×100%-100%。</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预算编制准确率≤20%，得5分。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预算编制准确率在20%和40%（含）之间，得3分。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预算编制准确率＞40%，得0分。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预算管理（20分）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“三公经费”控制率=（“三公经费”实际支出数/“三公经费”预算安排数）×100%，用以反映和考核部门（单位）对“三公经费”的实际控制程度。</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三公经费控制率≤100%，得5分，每增加0.1个百分点扣0.5分，扣完为止。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1.新增资产配置按预算执行。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2.资产有偿使用、处置按规定程序审批。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3.资产收益及时、足额上缴财政。</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全部符合5分，有1项不符扣2分,扣完为止。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2.资金的拨付有完整的审批程序和手续；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3.重大项目开支经过评估论证；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4.符合部门预算批复的用途；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5.不存在截留、挤占、挪用、虚列支出等情况。</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全部符合10分,有1项不符扣2分，扣完为止。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果</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运行效益（45分）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行政运行经济性</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现行行政运行经费支出预算编制方法的行政运行成本。</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可使行政运行成本最经济为5分，可使行政运行成本较合理为3分，一般为2分，不合理为0分。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行政运行成本最经济</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行政运行成本经济</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行政运行有效性</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行政运行经费支出能否保障部门正常运行。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正常运行的得5分，基本正常得3分，不能正常运行的不得分。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正常运行</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正常运行</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专项运行经济效益</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项目资金运行产生的经济效益</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经济效益显著得10分；一般得5分，下降不得分。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经济效益显著</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经济效益较显著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专项运行社会效益</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项目资金运行产生的社会效益</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社会效益显著得10分；一般得5分；否则不得分。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社会效益显著</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社会效益较显著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果</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运行效益（45分）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专项运行可持续影响</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1.项目完成后有经费安排能满足项目持续运行需要；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2.项目完成后有制度保障项目持续运行需要；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3.项目完成后有明确的项目管理机构、负责人对项目后继管理负责，满足持续运行需要。</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全部符合15分,有1项不符扣5分，扣完为止。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专项运行可持续影响</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专项运行可持续影响较好</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评价结论（优、良、中、差）：</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bl>
    <w:p>
      <w:pPr>
        <w:ind w:left="596" w:leftChars="284" w:firstLine="0" w:firstLineChars="0"/>
        <w:jc w:val="left"/>
        <w:rPr>
          <w:rStyle w:val="9"/>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（二）部门决算中项目绩效自评结果</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本部门今年在部门决算中反映所有项目绩效自评结果（涉密项目除外）。</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color w:val="000000"/>
          <w:kern w:val="0"/>
          <w:sz w:val="28"/>
          <w:szCs w:val="28"/>
          <w:shd w:val="clear" w:color="auto" w:fill="FFFFFF"/>
          <w:lang w:val="en-US" w:eastAsia="zh-CN"/>
        </w:rPr>
        <w:t>1</w:t>
      </w:r>
      <w:r>
        <w:rPr>
          <w:rStyle w:val="9"/>
          <w:rFonts w:hint="eastAsia" w:ascii="宋体" w:hAnsi="宋体" w:eastAsia="宋体" w:cs="宋体"/>
          <w:color w:val="000000"/>
          <w:kern w:val="0"/>
          <w:sz w:val="28"/>
          <w:szCs w:val="28"/>
          <w:shd w:val="clear" w:color="auto" w:fill="FFFFFF"/>
        </w:rPr>
        <w:t>、</w:t>
      </w:r>
      <w:r>
        <w:rPr>
          <w:rStyle w:val="9"/>
          <w:rFonts w:hint="eastAsia" w:ascii="宋体" w:hAnsi="宋体" w:eastAsia="宋体" w:cs="宋体"/>
          <w:color w:val="000000"/>
          <w:kern w:val="0"/>
          <w:sz w:val="28"/>
          <w:szCs w:val="28"/>
          <w:shd w:val="clear" w:color="auto" w:fill="FFFFFF"/>
          <w:lang w:eastAsia="zh-CN"/>
        </w:rPr>
        <w:t>项目</w:t>
      </w:r>
      <w:r>
        <w:rPr>
          <w:rStyle w:val="9"/>
          <w:rFonts w:hint="eastAsia" w:ascii="宋体" w:hAnsi="宋体" w:eastAsia="宋体" w:cs="宋体"/>
          <w:color w:val="000000"/>
          <w:kern w:val="0"/>
          <w:sz w:val="28"/>
          <w:szCs w:val="28"/>
          <w:shd w:val="clear" w:color="auto" w:fill="FFFFFF"/>
        </w:rPr>
        <w:t>申报、</w:t>
      </w:r>
      <w:r>
        <w:rPr>
          <w:rStyle w:val="9"/>
          <w:rFonts w:hint="eastAsia" w:ascii="宋体" w:hAnsi="宋体" w:eastAsia="宋体" w:cs="宋体"/>
          <w:color w:val="000000"/>
          <w:kern w:val="0"/>
          <w:sz w:val="28"/>
          <w:szCs w:val="28"/>
          <w:shd w:val="clear" w:color="auto" w:fill="FFFFFF"/>
          <w:lang w:eastAsia="zh-CN"/>
        </w:rPr>
        <w:t>开工</w:t>
      </w:r>
      <w:r>
        <w:rPr>
          <w:rStyle w:val="9"/>
          <w:rFonts w:hint="eastAsia" w:ascii="宋体" w:hAnsi="宋体" w:eastAsia="宋体" w:cs="宋体"/>
          <w:color w:val="000000"/>
          <w:kern w:val="0"/>
          <w:sz w:val="28"/>
          <w:szCs w:val="28"/>
          <w:shd w:val="clear" w:color="auto" w:fill="FFFFFF"/>
        </w:rPr>
        <w:t>拉练经费绩效自评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项目全年预算数为30万元，其中：一般公共预算财政拨款30万元。执行数为9万元，完成预算30%。</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谋划项目80余个，对上申报项目20余个，对上争取资金1.5医院；开展项目拉练4次，100%按时拨付，100%节约成本。科学研判项目可行性，通过谋划、包装、申报项目，加大中央、省预算内资金和专项债争取力度；开展项目拉练活动，促进辖区项目建设；推动我区经济发展，实现经济稳增长；收益对象满意度100%。</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发现的问题及原因：区级财政资金困难导致项目开工、项目拉练制作等多笔费用无法支出，所以年初预算执行率较低。</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下一步改进措施：结合以往年度实际情况，科学测算相关工作经费预算，进一步提高预算编制的准确性。区级财政资金困难导致项目开工、项目拉练制作等多笔费用无法支出，所以年初预算执行率较低。</w:t>
      </w:r>
    </w:p>
    <w:p>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p>
      <w:pPr>
        <w:spacing w:before="105" w:line="219" w:lineRule="auto"/>
        <w:jc w:val="center"/>
        <w:rPr>
          <w:rFonts w:ascii="宋体" w:hAnsi="宋体" w:eastAsia="宋体" w:cs="宋体"/>
          <w:b/>
          <w:bCs/>
          <w:spacing w:val="17"/>
          <w:sz w:val="43"/>
          <w:szCs w:val="43"/>
        </w:rPr>
      </w:pP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90" w:type="dxa"/>
            <w:gridSpan w:val="2"/>
            <w:noWrap w:val="0"/>
            <w:vAlign w:val="center"/>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pPr>
              <w:jc w:val="center"/>
              <w:rPr>
                <w:rFonts w:hint="eastAsia" w:ascii="Arial" w:eastAsia="宋体"/>
                <w:sz w:val="21"/>
                <w:lang w:val="en-US" w:eastAsia="zh-CN"/>
              </w:rPr>
            </w:pPr>
            <w:r>
              <w:rPr>
                <w:rFonts w:hint="eastAsia" w:ascii="Arial"/>
                <w:sz w:val="21"/>
                <w:lang w:val="en-US" w:eastAsia="zh-CN"/>
              </w:rPr>
              <w:t>项目申报、开工拉练经费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pPr>
              <w:rPr>
                <w:rFonts w:ascii="Arial"/>
                <w:sz w:val="21"/>
              </w:rPr>
            </w:pPr>
          </w:p>
        </w:tc>
        <w:tc>
          <w:tcPr>
            <w:tcW w:w="1329" w:type="dxa"/>
            <w:noWrap w:val="0"/>
            <w:vAlign w:val="center"/>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pPr>
              <w:rPr>
                <w:rFonts w:ascii="Arial"/>
                <w:sz w:val="21"/>
              </w:rPr>
            </w:pPr>
          </w:p>
        </w:tc>
        <w:tc>
          <w:tcPr>
            <w:tcW w:w="1132" w:type="dxa"/>
            <w:noWrap w:val="0"/>
            <w:vAlign w:val="center"/>
          </w:tcPr>
          <w:p>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pPr>
              <w:jc w:val="cente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9</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29.98%</w:t>
            </w:r>
          </w:p>
        </w:tc>
        <w:tc>
          <w:tcPr>
            <w:tcW w:w="2202"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center"/>
          </w:tcPr>
          <w:p>
            <w:pPr>
              <w:spacing w:line="269" w:lineRule="auto"/>
              <w:rPr>
                <w:rFonts w:ascii="Arial"/>
                <w:sz w:val="21"/>
              </w:rPr>
            </w:pPr>
          </w:p>
          <w:p>
            <w:pPr>
              <w:spacing w:line="269" w:lineRule="auto"/>
              <w:rPr>
                <w:rFonts w:ascii="Arial"/>
                <w:sz w:val="21"/>
              </w:rPr>
            </w:pPr>
          </w:p>
          <w:p>
            <w:pPr>
              <w:jc w:val="both"/>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tcBorders>
              <w:bottom w:val="single" w:color="auto" w:sz="4" w:space="0"/>
            </w:tcBorders>
            <w:noWrap w:val="0"/>
            <w:vAlign w:val="center"/>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tcBorders>
              <w:bottom w:val="single" w:color="auto" w:sz="4" w:space="0"/>
            </w:tcBorders>
            <w:noWrap w:val="0"/>
            <w:vAlign w:val="center"/>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tcBorders>
              <w:bottom w:val="single" w:color="auto" w:sz="4" w:space="0"/>
            </w:tcBorders>
            <w:noWrap w:val="0"/>
            <w:vAlign w:val="center"/>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right w:val="single" w:color="auto" w:sz="4" w:space="0"/>
            </w:tcBorders>
            <w:noWrap w:val="0"/>
            <w:vAlign w:val="center"/>
          </w:tcPr>
          <w:p>
            <w:pPr>
              <w:rPr>
                <w:rFonts w:ascii="Arial"/>
                <w:sz w:val="21"/>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bCs/>
              </w:rPr>
              <w:t>产出</w:t>
            </w:r>
          </w:p>
          <w:p>
            <w:pPr>
              <w:jc w:val="center"/>
              <w:rPr>
                <w:rFonts w:hint="eastAsia"/>
                <w:b/>
                <w:bCs/>
                <w:lang w:val="en-US" w:eastAsia="zh-CN"/>
              </w:rPr>
            </w:pPr>
            <w:r>
              <w:rPr>
                <w:rFonts w:hint="eastAsia"/>
                <w:b/>
                <w:bCs/>
                <w:lang w:val="en-US" w:eastAsia="zh-CN"/>
              </w:rPr>
              <w:t>指标</w:t>
            </w:r>
          </w:p>
          <w:p>
            <w:pPr>
              <w:jc w:val="center"/>
              <w:rPr>
                <w:rFonts w:hint="eastAsia" w:eastAsia="宋体"/>
                <w:b/>
                <w:bCs/>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谋划项目80余个，对上申报项目20余个，对上争取资金1.5医院；开展项目拉练4次</w:t>
            </w:r>
          </w:p>
        </w:tc>
        <w:tc>
          <w:tcPr>
            <w:tcW w:w="1458" w:type="dxa"/>
            <w:tcBorders>
              <w:left w:val="single" w:color="auto" w:sz="4" w:space="0"/>
            </w:tcBorders>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时效指标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按时拨付</w:t>
            </w:r>
          </w:p>
        </w:tc>
        <w:tc>
          <w:tcPr>
            <w:tcW w:w="1458" w:type="dxa"/>
            <w:tcBorders>
              <w:left w:val="single" w:color="auto" w:sz="4" w:space="0"/>
            </w:tcBorders>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宋体" w:cs="Times New Roman"/>
                <w:b/>
                <w:bCs/>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成本指标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节约成本</w:t>
            </w:r>
          </w:p>
        </w:tc>
        <w:tc>
          <w:tcPr>
            <w:tcW w:w="1458" w:type="dxa"/>
            <w:tcBorders>
              <w:left w:val="single" w:color="auto" w:sz="4" w:space="0"/>
            </w:tcBorders>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vMerge w:val="restart"/>
            <w:tcBorders>
              <w:top w:val="single" w:color="auto" w:sz="4" w:space="0"/>
              <w:left w:val="single" w:color="auto" w:sz="4" w:space="0"/>
              <w:right w:val="single" w:color="auto" w:sz="4" w:space="0"/>
            </w:tcBorders>
            <w:noWrap w:val="0"/>
            <w:vAlign w:val="center"/>
          </w:tcPr>
          <w:p>
            <w:pPr>
              <w:jc w:val="center"/>
              <w:rPr>
                <w:rFonts w:hint="eastAsia" w:cs="Times New Roman"/>
                <w:b/>
                <w:bCs/>
                <w:lang w:eastAsia="zh-CN"/>
              </w:rPr>
            </w:pPr>
            <w:r>
              <w:rPr>
                <w:rFonts w:hint="eastAsia" w:cs="Times New Roman"/>
                <w:b/>
                <w:bCs/>
                <w:lang w:eastAsia="zh-CN"/>
              </w:rPr>
              <w:t>效益</w:t>
            </w:r>
          </w:p>
          <w:p>
            <w:pPr>
              <w:jc w:val="center"/>
              <w:rPr>
                <w:rFonts w:hint="eastAsia" w:ascii="Calibri" w:hAnsi="Calibri" w:eastAsia="宋体" w:cs="Times New Roman"/>
                <w:b/>
                <w:bCs/>
                <w:kern w:val="2"/>
                <w:sz w:val="21"/>
                <w:lang w:val="en-US" w:eastAsia="zh-CN" w:bidi="ar-SA"/>
              </w:rPr>
            </w:pPr>
            <w:r>
              <w:rPr>
                <w:rFonts w:hint="eastAsia" w:cs="Times New Roman"/>
                <w:b/>
                <w:bCs/>
                <w:lang w:eastAsia="zh-CN"/>
              </w:rPr>
              <w:t>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经济效益指标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科学研判项目可行性，通过谋划、包装、申报项目，加大中央、省预算内资金和专项债争取力度</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left w:val="single" w:color="auto" w:sz="4" w:space="0"/>
              <w:right w:val="single" w:color="auto" w:sz="4" w:space="0"/>
            </w:tcBorders>
            <w:noWrap w:val="0"/>
            <w:vAlign w:val="center"/>
          </w:tcPr>
          <w:p>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社会效益指标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开展项目拉练活动，促进辖区项目建设</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left w:val="single" w:color="auto" w:sz="4" w:space="0"/>
              <w:bottom w:val="single" w:color="auto" w:sz="4" w:space="0"/>
              <w:right w:val="single" w:color="auto" w:sz="4" w:space="0"/>
            </w:tcBorders>
            <w:noWrap w:val="0"/>
            <w:vAlign w:val="center"/>
          </w:tcPr>
          <w:p>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可持续影响指标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推动我区经济发展，实现经济稳增长</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Times New Roman"/>
                <w:b/>
                <w:bCs/>
                <w:lang w:eastAsia="zh-CN"/>
              </w:rPr>
            </w:pPr>
            <w:r>
              <w:rPr>
                <w:rFonts w:hint="eastAsia" w:cs="Times New Roman"/>
                <w:b/>
                <w:bCs/>
                <w:lang w:eastAsia="zh-CN"/>
              </w:rPr>
              <w:t>满意度指标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具体指标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收益对象满意度</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pPr>
              <w:jc w:val="center"/>
              <w:rPr>
                <w:rFonts w:hint="default" w:ascii="Arial" w:eastAsia="宋体"/>
                <w:sz w:val="21"/>
                <w:lang w:val="en-US" w:eastAsia="zh-CN"/>
              </w:rPr>
            </w:pPr>
            <w:r>
              <w:rPr>
                <w:rFonts w:hint="eastAsia" w:ascii="Arial"/>
                <w:sz w:val="21"/>
                <w:lang w:val="en-US" w:eastAsia="zh-CN"/>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pPr>
              <w:jc w:val="center"/>
              <w:rPr>
                <w:b/>
                <w:bCs/>
              </w:rPr>
            </w:pPr>
            <w:r>
              <w:rPr>
                <w:b/>
                <w:bCs/>
              </w:rPr>
              <w:t>偏差大或目标未完成原因</w:t>
            </w:r>
          </w:p>
          <w:p>
            <w:pPr>
              <w:jc w:val="center"/>
              <w:rPr>
                <w:rFonts w:ascii="宋体" w:hAnsi="宋体" w:eastAsia="宋体" w:cs="宋体"/>
                <w:b/>
                <w:bCs/>
                <w:spacing w:val="4"/>
                <w:sz w:val="22"/>
                <w:szCs w:val="22"/>
              </w:rPr>
            </w:pPr>
            <w:r>
              <w:rPr>
                <w:b/>
                <w:bCs/>
              </w:rPr>
              <w:t>分析</w:t>
            </w:r>
          </w:p>
        </w:tc>
        <w:tc>
          <w:tcPr>
            <w:tcW w:w="8115" w:type="dxa"/>
            <w:gridSpan w:val="8"/>
            <w:noWrap w:val="0"/>
            <w:vAlign w:val="center"/>
          </w:tcPr>
          <w:p>
            <w:pPr>
              <w:jc w:val="left"/>
              <w:rPr>
                <w:rFonts w:hint="eastAsia" w:ascii="Arial"/>
                <w:sz w:val="21"/>
                <w:lang w:val="en-US" w:eastAsia="zh-CN"/>
              </w:rPr>
            </w:pPr>
            <w:r>
              <w:rPr>
                <w:rFonts w:hint="eastAsia" w:ascii="Arial"/>
                <w:sz w:val="21"/>
                <w:lang w:val="en-US" w:eastAsia="zh-CN"/>
              </w:rPr>
              <w:t>预算偏差大的原因是：区级财政资金困难导致项目开工、项目拉练制作等多笔费用无法支出，所以年初预算执行率较低。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pPr>
              <w:jc w:val="center"/>
              <w:rPr>
                <w:b/>
                <w:bCs/>
              </w:rPr>
            </w:pPr>
            <w:r>
              <w:rPr>
                <w:b/>
                <w:bCs/>
              </w:rPr>
              <w:t>改进措施及结果应用方案</w:t>
            </w:r>
          </w:p>
        </w:tc>
        <w:tc>
          <w:tcPr>
            <w:tcW w:w="8115" w:type="dxa"/>
            <w:gridSpan w:val="8"/>
            <w:noWrap w:val="0"/>
            <w:vAlign w:val="center"/>
          </w:tcPr>
          <w:p>
            <w:pPr>
              <w:jc w:val="center"/>
              <w:rPr>
                <w:rFonts w:hint="eastAsia" w:ascii="Arial"/>
                <w:sz w:val="21"/>
                <w:lang w:val="en-US" w:eastAsia="zh-CN"/>
              </w:rPr>
            </w:pPr>
          </w:p>
        </w:tc>
      </w:tr>
    </w:tbl>
    <w:p>
      <w:pPr>
        <w:rPr>
          <w:rFonts w:hint="eastAsia" w:ascii="宋体" w:hAnsi="宋体" w:eastAsia="宋体" w:cs="宋体"/>
          <w:color w:val="000000"/>
          <w:kern w:val="0"/>
          <w:sz w:val="28"/>
          <w:szCs w:val="28"/>
          <w:shd w:val="clear" w:color="auto" w:fill="FFFFFF"/>
        </w:rPr>
      </w:pPr>
      <w:r>
        <w:rPr>
          <w:rStyle w:val="9"/>
          <w:rFonts w:hint="eastAsia" w:ascii="宋体" w:hAnsi="宋体" w:eastAsia="宋体" w:cs="宋体"/>
          <w:color w:val="000000"/>
          <w:kern w:val="0"/>
          <w:sz w:val="28"/>
          <w:szCs w:val="28"/>
          <w:shd w:val="clear" w:color="auto" w:fill="FFFFFF"/>
        </w:rPr>
        <w:t>2.经济动员、价格认证经费绩效自评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项目全年预算数为3万元，其中：一般公共预算财政拨款3万元。执行数为3万元，完成预算100%。</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主要产出和效益：经济动员工作：完成落实地方经济资源储备，组织协调军民通用物资联储、联供和联修、联医工作；战时组织领导区域内经济动员和经济支前工作；</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价格认定工作：完成本地区经济动员调查统计工作。办理本级纪律检查委员会、基层人民法院、人民检察院、人民政府各部门以及国务院垂直管理部门所属机构提出的价格认定事项。</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发现的问题及原因：摸排企业的基本情况，进行市场调查。</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w:t>
      </w:r>
    </w:p>
    <w:p>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90" w:type="dxa"/>
            <w:gridSpan w:val="2"/>
            <w:noWrap w:val="0"/>
            <w:vAlign w:val="center"/>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pPr>
              <w:jc w:val="center"/>
              <w:rPr>
                <w:rFonts w:ascii="Arial"/>
                <w:sz w:val="21"/>
              </w:rPr>
            </w:pPr>
            <w:r>
              <w:rPr>
                <w:rFonts w:hint="eastAsia" w:ascii="Arial"/>
                <w:sz w:val="21"/>
              </w:rPr>
              <w:t>经济动员、价格认证经费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pPr>
              <w:rPr>
                <w:rFonts w:ascii="Arial"/>
                <w:sz w:val="21"/>
              </w:rPr>
            </w:pPr>
          </w:p>
        </w:tc>
        <w:tc>
          <w:tcPr>
            <w:tcW w:w="1329" w:type="dxa"/>
            <w:noWrap w:val="0"/>
            <w:vAlign w:val="center"/>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pPr>
              <w:rPr>
                <w:rFonts w:ascii="Arial"/>
                <w:sz w:val="21"/>
              </w:rPr>
            </w:pPr>
          </w:p>
        </w:tc>
        <w:tc>
          <w:tcPr>
            <w:tcW w:w="1132" w:type="dxa"/>
            <w:noWrap w:val="0"/>
            <w:vAlign w:val="center"/>
          </w:tcPr>
          <w:p>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pPr>
              <w:jc w:val="center"/>
              <w:rPr>
                <w:rFonts w:hint="default" w:ascii="Arial" w:eastAsia="宋体"/>
                <w:sz w:val="21"/>
                <w:lang w:val="en-US" w:eastAsia="zh-CN"/>
              </w:rPr>
            </w:pPr>
            <w:r>
              <w:rPr>
                <w:rFonts w:hint="eastAsia" w:ascii="Arial"/>
                <w:sz w:val="21"/>
                <w:lang w:val="en-US" w:eastAsia="zh-CN"/>
              </w:rPr>
              <w:t>3</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3</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202"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center"/>
          </w:tcPr>
          <w:p>
            <w:pPr>
              <w:spacing w:line="269" w:lineRule="auto"/>
              <w:rPr>
                <w:rFonts w:ascii="Arial"/>
                <w:sz w:val="21"/>
              </w:rPr>
            </w:pPr>
          </w:p>
          <w:p>
            <w:pPr>
              <w:spacing w:line="269" w:lineRule="auto"/>
              <w:rPr>
                <w:rFonts w:ascii="Arial"/>
                <w:sz w:val="21"/>
              </w:rPr>
            </w:pPr>
          </w:p>
          <w:p>
            <w:pPr>
              <w:jc w:val="both"/>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noWrap w:val="0"/>
            <w:vAlign w:val="center"/>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noWrap w:val="0"/>
            <w:vAlign w:val="center"/>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center"/>
          </w:tcPr>
          <w:p>
            <w:pPr>
              <w:rPr>
                <w:rFonts w:ascii="Arial"/>
                <w:sz w:val="21"/>
              </w:rPr>
            </w:pPr>
          </w:p>
        </w:tc>
        <w:tc>
          <w:tcPr>
            <w:tcW w:w="676" w:type="dxa"/>
            <w:vMerge w:val="restart"/>
            <w:noWrap w:val="0"/>
            <w:vAlign w:val="center"/>
          </w:tcPr>
          <w:p>
            <w:pPr>
              <w:jc w:val="center"/>
              <w:rPr>
                <w:b/>
                <w:bCs/>
              </w:rPr>
            </w:pPr>
            <w:r>
              <w:rPr>
                <w:b/>
                <w:bCs/>
              </w:rPr>
              <w:t>产出</w:t>
            </w:r>
          </w:p>
          <w:p>
            <w:pPr>
              <w:jc w:val="center"/>
              <w:rPr>
                <w:rFonts w:hint="eastAsia"/>
                <w:b/>
                <w:bCs/>
                <w:lang w:val="en-US" w:eastAsia="zh-CN"/>
              </w:rPr>
            </w:pPr>
            <w:r>
              <w:rPr>
                <w:rFonts w:hint="eastAsia"/>
                <w:b/>
                <w:bCs/>
                <w:lang w:val="en-US" w:eastAsia="zh-CN"/>
              </w:rPr>
              <w:t>指标</w:t>
            </w:r>
          </w:p>
          <w:p>
            <w:pPr>
              <w:jc w:val="center"/>
              <w:rPr>
                <w:rFonts w:hint="eastAsia" w:eastAsia="宋体"/>
                <w:b/>
                <w:bCs/>
                <w:lang w:val="en-US" w:eastAsia="zh-CN"/>
              </w:rPr>
            </w:pPr>
          </w:p>
        </w:tc>
        <w:tc>
          <w:tcPr>
            <w:tcW w:w="1132" w:type="dxa"/>
            <w:vMerge w:val="restart"/>
            <w:noWrap w:val="0"/>
            <w:vAlign w:val="center"/>
          </w:tcPr>
          <w:p>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20分</w:t>
            </w:r>
            <w:r>
              <w:rPr>
                <w:rFonts w:hint="eastAsia" w:ascii="仿宋_GB2312" w:hAnsi="宋体" w:eastAsia="仿宋_GB2312" w:cs="仿宋_GB2312"/>
                <w:kern w:val="0"/>
                <w:szCs w:val="20"/>
                <w:lang w:eastAsia="zh-CN"/>
              </w:rPr>
              <w:t>）</w:t>
            </w:r>
          </w:p>
        </w:tc>
        <w:tc>
          <w:tcPr>
            <w:tcW w:w="2647" w:type="dxa"/>
            <w:gridSpan w:val="3"/>
            <w:noWrap w:val="0"/>
            <w:vAlign w:val="center"/>
          </w:tcPr>
          <w:p>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1.摸排重点企业项企业基本情况</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center"/>
          </w:tcPr>
          <w:p>
            <w:pPr>
              <w:rPr>
                <w:rFonts w:ascii="Arial"/>
                <w:sz w:val="21"/>
              </w:rPr>
            </w:pPr>
          </w:p>
        </w:tc>
        <w:tc>
          <w:tcPr>
            <w:tcW w:w="676" w:type="dxa"/>
            <w:vMerge w:val="continue"/>
            <w:noWrap w:val="0"/>
            <w:vAlign w:val="center"/>
          </w:tcPr>
          <w:p>
            <w:pPr>
              <w:jc w:val="center"/>
              <w:rPr>
                <w:b/>
                <w:bCs/>
              </w:rPr>
            </w:pPr>
          </w:p>
        </w:tc>
        <w:tc>
          <w:tcPr>
            <w:tcW w:w="1132" w:type="dxa"/>
            <w:vMerge w:val="continue"/>
            <w:noWrap w:val="0"/>
            <w:vAlign w:val="center"/>
          </w:tcPr>
          <w:p>
            <w:pPr>
              <w:widowControl/>
              <w:jc w:val="center"/>
              <w:rPr>
                <w:rFonts w:ascii="仿宋_GB2312" w:hAnsi="宋体" w:eastAsia="仿宋_GB2312" w:cs="Times New Roman"/>
                <w:kern w:val="0"/>
                <w:sz w:val="21"/>
                <w:szCs w:val="20"/>
                <w:lang w:val="en-US" w:eastAsia="zh-CN" w:bidi="ar-SA"/>
              </w:rPr>
            </w:pPr>
          </w:p>
        </w:tc>
        <w:tc>
          <w:tcPr>
            <w:tcW w:w="2647" w:type="dxa"/>
            <w:gridSpan w:val="3"/>
            <w:noWrap w:val="0"/>
            <w:vAlign w:val="center"/>
          </w:tcPr>
          <w:p>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2.受理价格认定案件34起</w:t>
            </w:r>
          </w:p>
        </w:tc>
        <w:tc>
          <w:tcPr>
            <w:tcW w:w="145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noWrap w:val="0"/>
            <w:vAlign w:val="center"/>
          </w:tcPr>
          <w:p>
            <w:pPr>
              <w:rPr>
                <w:rFonts w:ascii="Arial"/>
                <w:sz w:val="21"/>
              </w:rPr>
            </w:pPr>
          </w:p>
        </w:tc>
        <w:tc>
          <w:tcPr>
            <w:tcW w:w="676" w:type="dxa"/>
            <w:vMerge w:val="continue"/>
            <w:noWrap w:val="0"/>
            <w:vAlign w:val="center"/>
          </w:tcPr>
          <w:p>
            <w:pPr>
              <w:jc w:val="center"/>
              <w:rPr>
                <w:rFonts w:hint="eastAsia" w:cs="Times New Roman"/>
                <w:b/>
                <w:bCs/>
                <w:lang w:eastAsia="zh-CN"/>
              </w:rPr>
            </w:pPr>
          </w:p>
        </w:tc>
        <w:tc>
          <w:tcPr>
            <w:tcW w:w="1132" w:type="dxa"/>
            <w:noWrap w:val="0"/>
            <w:vAlign w:val="center"/>
          </w:tcPr>
          <w:p>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时效</w:t>
            </w:r>
            <w:r>
              <w:rPr>
                <w:rFonts w:hint="eastAsia" w:ascii="仿宋_GB2312" w:hAnsi="宋体" w:eastAsia="仿宋_GB2312" w:cs="仿宋_GB2312"/>
                <w:kern w:val="0"/>
                <w:szCs w:val="20"/>
              </w:rPr>
              <w:t>指标</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10分</w:t>
            </w:r>
            <w:r>
              <w:rPr>
                <w:rFonts w:hint="eastAsia" w:ascii="仿宋_GB2312" w:hAnsi="宋体" w:eastAsia="仿宋_GB2312" w:cs="仿宋_GB2312"/>
                <w:kern w:val="0"/>
                <w:szCs w:val="20"/>
                <w:lang w:eastAsia="zh-CN"/>
              </w:rPr>
              <w:t>）</w:t>
            </w:r>
          </w:p>
        </w:tc>
        <w:tc>
          <w:tcPr>
            <w:tcW w:w="2647" w:type="dxa"/>
            <w:gridSpan w:val="3"/>
            <w:noWrap w:val="0"/>
            <w:vAlign w:val="center"/>
          </w:tcPr>
          <w:p>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按时间截点完成</w:t>
            </w:r>
          </w:p>
        </w:tc>
        <w:tc>
          <w:tcPr>
            <w:tcW w:w="145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pPr>
              <w:rPr>
                <w:rFonts w:ascii="Arial"/>
                <w:sz w:val="21"/>
              </w:rPr>
            </w:pPr>
          </w:p>
        </w:tc>
        <w:tc>
          <w:tcPr>
            <w:tcW w:w="676" w:type="dxa"/>
            <w:vMerge w:val="continue"/>
            <w:tcBorders>
              <w:bottom w:val="nil"/>
            </w:tcBorders>
            <w:noWrap w:val="0"/>
            <w:vAlign w:val="center"/>
          </w:tcPr>
          <w:p>
            <w:pPr>
              <w:jc w:val="center"/>
              <w:rPr>
                <w:rFonts w:ascii="Calibri" w:hAnsi="Calibri" w:eastAsia="宋体" w:cs="Times New Roman"/>
                <w:b/>
                <w:bCs/>
              </w:rPr>
            </w:pPr>
          </w:p>
        </w:tc>
        <w:tc>
          <w:tcPr>
            <w:tcW w:w="1132" w:type="dxa"/>
            <w:noWrap w:val="0"/>
            <w:vAlign w:val="center"/>
          </w:tcPr>
          <w:p>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质量指标（10分）</w:t>
            </w:r>
          </w:p>
        </w:tc>
        <w:tc>
          <w:tcPr>
            <w:tcW w:w="2647" w:type="dxa"/>
            <w:gridSpan w:val="3"/>
            <w:noWrap w:val="0"/>
            <w:vAlign w:val="center"/>
          </w:tcPr>
          <w:p>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按要求完成</w:t>
            </w:r>
          </w:p>
        </w:tc>
        <w:tc>
          <w:tcPr>
            <w:tcW w:w="145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pPr>
              <w:rPr>
                <w:rFonts w:ascii="Arial"/>
                <w:sz w:val="21"/>
              </w:rPr>
            </w:pPr>
          </w:p>
        </w:tc>
        <w:tc>
          <w:tcPr>
            <w:tcW w:w="676" w:type="dxa"/>
            <w:vMerge w:val="restart"/>
            <w:tcBorders>
              <w:top w:val="nil"/>
            </w:tcBorders>
            <w:noWrap w:val="0"/>
            <w:vAlign w:val="center"/>
          </w:tcPr>
          <w:p>
            <w:pPr>
              <w:jc w:val="center"/>
              <w:rPr>
                <w:rFonts w:hint="eastAsia" w:cs="Times New Roman"/>
                <w:b/>
                <w:bCs/>
                <w:lang w:eastAsia="zh-CN"/>
              </w:rPr>
            </w:pPr>
            <w:r>
              <w:rPr>
                <w:rFonts w:hint="eastAsia" w:cs="Times New Roman"/>
                <w:b/>
                <w:bCs/>
                <w:lang w:eastAsia="zh-CN"/>
              </w:rPr>
              <w:t>效益</w:t>
            </w:r>
          </w:p>
          <w:p>
            <w:pPr>
              <w:jc w:val="center"/>
              <w:rPr>
                <w:rFonts w:hint="eastAsia" w:cs="Times New Roman"/>
                <w:b/>
                <w:bCs/>
                <w:lang w:eastAsia="zh-CN"/>
              </w:rPr>
            </w:pPr>
            <w:r>
              <w:rPr>
                <w:rFonts w:hint="eastAsia" w:cs="Times New Roman"/>
                <w:b/>
                <w:bCs/>
                <w:lang w:eastAsia="zh-CN"/>
              </w:rPr>
              <w:t>指标</w:t>
            </w:r>
          </w:p>
          <w:p>
            <w:pPr>
              <w:jc w:val="center"/>
              <w:rPr>
                <w:rFonts w:hint="eastAsia" w:ascii="Calibri" w:hAnsi="Calibri" w:eastAsia="宋体" w:cs="Times New Roman"/>
                <w:b/>
                <w:bCs/>
                <w:kern w:val="2"/>
                <w:sz w:val="21"/>
                <w:lang w:val="en-US" w:eastAsia="zh-CN" w:bidi="ar-SA"/>
              </w:rPr>
            </w:pPr>
          </w:p>
        </w:tc>
        <w:tc>
          <w:tcPr>
            <w:tcW w:w="1132" w:type="dxa"/>
            <w:noWrap w:val="0"/>
            <w:vAlign w:val="center"/>
          </w:tcPr>
          <w:p>
            <w:pPr>
              <w:widowControl/>
              <w:jc w:val="center"/>
              <w:rPr>
                <w:rFonts w:ascii="仿宋_GB2312" w:hAnsi="宋体" w:eastAsia="仿宋_GB2312"/>
                <w:kern w:val="0"/>
                <w:szCs w:val="20"/>
              </w:rPr>
            </w:pPr>
            <w:r>
              <w:rPr>
                <w:rFonts w:hint="eastAsia" w:ascii="仿宋_GB2312" w:hAnsi="宋体" w:eastAsia="仿宋_GB2312" w:cs="仿宋_GB2312"/>
                <w:kern w:val="0"/>
                <w:szCs w:val="20"/>
                <w:lang w:eastAsia="zh-CN"/>
              </w:rPr>
              <w:t>社会</w:t>
            </w:r>
            <w:r>
              <w:rPr>
                <w:rFonts w:hint="eastAsia" w:ascii="仿宋_GB2312" w:hAnsi="宋体" w:eastAsia="仿宋_GB2312" w:cs="仿宋_GB2312"/>
                <w:kern w:val="0"/>
                <w:szCs w:val="20"/>
              </w:rPr>
              <w:t>效益</w:t>
            </w:r>
          </w:p>
          <w:p>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指标</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30分</w:t>
            </w:r>
            <w:r>
              <w:rPr>
                <w:rFonts w:hint="eastAsia" w:ascii="仿宋_GB2312" w:hAnsi="宋体" w:eastAsia="仿宋_GB2312" w:cs="仿宋_GB2312"/>
                <w:kern w:val="0"/>
                <w:szCs w:val="20"/>
                <w:lang w:eastAsia="zh-CN"/>
              </w:rPr>
              <w:t>）</w:t>
            </w:r>
          </w:p>
        </w:tc>
        <w:tc>
          <w:tcPr>
            <w:tcW w:w="2647" w:type="dxa"/>
            <w:gridSpan w:val="3"/>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1、落实地方经济资源储备，组织协调军民通用物资联储、联供和联修、联医工作；战时组织领导区域内经济动员和经济支前工作。</w:t>
            </w:r>
          </w:p>
        </w:tc>
        <w:tc>
          <w:tcPr>
            <w:tcW w:w="145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pPr>
              <w:rPr>
                <w:rFonts w:ascii="Arial"/>
                <w:sz w:val="21"/>
              </w:rPr>
            </w:pPr>
          </w:p>
        </w:tc>
        <w:tc>
          <w:tcPr>
            <w:tcW w:w="676" w:type="dxa"/>
            <w:vMerge w:val="continue"/>
            <w:tcBorders>
              <w:bottom w:val="nil"/>
            </w:tcBorders>
            <w:noWrap w:val="0"/>
            <w:vAlign w:val="center"/>
          </w:tcPr>
          <w:p>
            <w:pPr>
              <w:jc w:val="center"/>
              <w:rPr>
                <w:rFonts w:ascii="Calibri" w:hAnsi="Calibri" w:eastAsia="宋体" w:cs="Times New Roman"/>
                <w:b/>
                <w:bCs/>
              </w:rPr>
            </w:pPr>
          </w:p>
        </w:tc>
        <w:tc>
          <w:tcPr>
            <w:tcW w:w="1132" w:type="dxa"/>
            <w:noWrap w:val="0"/>
            <w:vAlign w:val="center"/>
          </w:tcPr>
          <w:p>
            <w:pPr>
              <w:widowControl/>
              <w:jc w:val="center"/>
              <w:rPr>
                <w:rFonts w:hint="eastAsia" w:ascii="仿宋_GB2312" w:hAnsi="宋体" w:eastAsia="仿宋_GB2312" w:cs="Times New Roman"/>
                <w:kern w:val="0"/>
                <w:sz w:val="21"/>
                <w:szCs w:val="20"/>
                <w:lang w:val="en-US" w:eastAsia="zh-CN" w:bidi="ar-SA"/>
              </w:rPr>
            </w:pPr>
          </w:p>
        </w:tc>
        <w:tc>
          <w:tcPr>
            <w:tcW w:w="2647" w:type="dxa"/>
            <w:gridSpan w:val="3"/>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2、落实本级纪律检查委员会、基层人民法院、人民检察院、人民政府各部门以及国务院垂直管理部门所属机构提出的价格认定事项。</w:t>
            </w:r>
          </w:p>
        </w:tc>
        <w:tc>
          <w:tcPr>
            <w:tcW w:w="145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bottom w:val="nil"/>
            </w:tcBorders>
            <w:noWrap w:val="0"/>
            <w:vAlign w:val="center"/>
          </w:tcPr>
          <w:p>
            <w:pPr>
              <w:rPr>
                <w:rFonts w:ascii="Arial"/>
                <w:sz w:val="21"/>
              </w:rPr>
            </w:pPr>
          </w:p>
        </w:tc>
        <w:tc>
          <w:tcPr>
            <w:tcW w:w="676" w:type="dxa"/>
            <w:tcBorders>
              <w:top w:val="nil"/>
              <w:bottom w:val="nil"/>
            </w:tcBorders>
            <w:noWrap w:val="0"/>
            <w:vAlign w:val="center"/>
          </w:tcPr>
          <w:p>
            <w:pPr>
              <w:jc w:val="center"/>
              <w:rPr>
                <w:rFonts w:ascii="Calibri" w:hAnsi="Calibri" w:eastAsia="宋体" w:cs="Times New Roman"/>
                <w:b/>
                <w:bCs/>
              </w:rPr>
            </w:pPr>
          </w:p>
        </w:tc>
        <w:tc>
          <w:tcPr>
            <w:tcW w:w="1132" w:type="dxa"/>
            <w:noWrap w:val="0"/>
            <w:vAlign w:val="center"/>
          </w:tcPr>
          <w:p>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数量指标（</w:t>
            </w:r>
            <w:r>
              <w:rPr>
                <w:rFonts w:hint="eastAsia" w:ascii="仿宋_GB2312" w:hAnsi="宋体" w:eastAsia="仿宋_GB2312" w:cs="仿宋_GB2312"/>
                <w:kern w:val="0"/>
                <w:szCs w:val="20"/>
                <w:lang w:val="en-US" w:eastAsia="zh-CN"/>
              </w:rPr>
              <w:t>10分</w:t>
            </w:r>
            <w:r>
              <w:rPr>
                <w:rFonts w:hint="eastAsia" w:ascii="仿宋_GB2312" w:hAnsi="宋体" w:eastAsia="仿宋_GB2312" w:cs="仿宋_GB2312"/>
                <w:kern w:val="0"/>
                <w:szCs w:val="20"/>
                <w:lang w:eastAsia="zh-CN"/>
              </w:rPr>
              <w:t>）</w:t>
            </w:r>
          </w:p>
        </w:tc>
        <w:tc>
          <w:tcPr>
            <w:tcW w:w="2647" w:type="dxa"/>
            <w:gridSpan w:val="3"/>
            <w:noWrap w:val="0"/>
            <w:vAlign w:val="center"/>
          </w:tcPr>
          <w:p>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按实际数量完成</w:t>
            </w:r>
          </w:p>
        </w:tc>
        <w:tc>
          <w:tcPr>
            <w:tcW w:w="145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pPr>
              <w:jc w:val="center"/>
              <w:rPr>
                <w:rFonts w:hint="default" w:ascii="Arial" w:eastAsia="宋体"/>
                <w:sz w:val="21"/>
                <w:lang w:val="en-US" w:eastAsia="zh-CN"/>
              </w:rPr>
            </w:pPr>
            <w:r>
              <w:rPr>
                <w:rFonts w:hint="eastAsia" w:ascii="Arial"/>
                <w:sz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pPr>
              <w:jc w:val="center"/>
              <w:rPr>
                <w:b/>
                <w:bCs/>
              </w:rPr>
            </w:pPr>
            <w:r>
              <w:rPr>
                <w:b/>
                <w:bCs/>
              </w:rPr>
              <w:t>偏差大或目标未完成原因</w:t>
            </w:r>
          </w:p>
          <w:p>
            <w:pPr>
              <w:jc w:val="center"/>
              <w:rPr>
                <w:rFonts w:ascii="宋体" w:hAnsi="宋体" w:eastAsia="宋体" w:cs="宋体"/>
                <w:b/>
                <w:bCs/>
                <w:spacing w:val="4"/>
                <w:sz w:val="22"/>
                <w:szCs w:val="22"/>
              </w:rPr>
            </w:pPr>
            <w:r>
              <w:rPr>
                <w:b/>
                <w:bCs/>
              </w:rPr>
              <w:t>分析</w:t>
            </w:r>
          </w:p>
        </w:tc>
        <w:tc>
          <w:tcPr>
            <w:tcW w:w="8115" w:type="dxa"/>
            <w:gridSpan w:val="8"/>
            <w:noWrap w:val="0"/>
            <w:vAlign w:val="center"/>
          </w:tcPr>
          <w:p>
            <w:pPr>
              <w:jc w:val="center"/>
              <w:rPr>
                <w:rFonts w:hint="eastAsia"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pPr>
              <w:jc w:val="center"/>
              <w:rPr>
                <w:b/>
                <w:bCs/>
              </w:rPr>
            </w:pPr>
            <w:r>
              <w:rPr>
                <w:b/>
                <w:bCs/>
              </w:rPr>
              <w:t>改进措施及结果应用方案</w:t>
            </w:r>
          </w:p>
        </w:tc>
        <w:tc>
          <w:tcPr>
            <w:tcW w:w="8115" w:type="dxa"/>
            <w:gridSpan w:val="8"/>
            <w:noWrap w:val="0"/>
            <w:vAlign w:val="center"/>
          </w:tcPr>
          <w:p>
            <w:pPr>
              <w:jc w:val="center"/>
              <w:rPr>
                <w:rFonts w:hint="eastAsia" w:ascii="Arial"/>
                <w:sz w:val="21"/>
                <w:lang w:val="en-US" w:eastAsia="zh-CN"/>
              </w:rPr>
            </w:pPr>
          </w:p>
        </w:tc>
      </w:tr>
    </w:tbl>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b/>
          <w:bCs/>
          <w:color w:val="000000"/>
          <w:kern w:val="0"/>
          <w:sz w:val="28"/>
          <w:szCs w:val="28"/>
          <w:shd w:val="clear" w:color="auto" w:fill="FFFFFF"/>
          <w:lang w:val="en-US" w:eastAsia="zh-CN"/>
        </w:rPr>
        <w:t>3</w:t>
      </w:r>
      <w:r>
        <w:rPr>
          <w:rFonts w:hint="eastAsia" w:ascii="宋体" w:hAnsi="宋体" w:eastAsia="宋体" w:cs="宋体"/>
          <w:b/>
          <w:bCs/>
          <w:color w:val="000000"/>
          <w:kern w:val="0"/>
          <w:sz w:val="28"/>
          <w:szCs w:val="28"/>
          <w:shd w:val="clear" w:color="auto" w:fill="FFFFFF"/>
        </w:rPr>
        <w:t>.</w:t>
      </w:r>
      <w:r>
        <w:rPr>
          <w:rFonts w:hint="eastAsia" w:ascii="宋体" w:hAnsi="宋体" w:eastAsia="宋体" w:cs="宋体"/>
          <w:b/>
          <w:bCs/>
          <w:color w:val="000000"/>
          <w:kern w:val="0"/>
          <w:sz w:val="28"/>
          <w:szCs w:val="28"/>
          <w:shd w:val="clear" w:color="auto" w:fill="FFFFFF"/>
          <w:lang w:val="en-US" w:eastAsia="zh-CN"/>
        </w:rPr>
        <w:t>全区项目申报前期经费</w:t>
      </w:r>
      <w:r>
        <w:rPr>
          <w:rFonts w:hint="eastAsia" w:ascii="宋体" w:hAnsi="宋体" w:eastAsia="宋体" w:cs="宋体"/>
          <w:b/>
          <w:bCs/>
          <w:color w:val="000000"/>
          <w:kern w:val="0"/>
          <w:sz w:val="28"/>
          <w:szCs w:val="28"/>
          <w:shd w:val="clear" w:color="auto" w:fill="FFFFFF"/>
        </w:rPr>
        <w:t>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项目全年预算数为1000万元，其中：一般公共预算财政拨款1000万元。执行数为106.4万元，完成预算10.64%。</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对辖区政府投资项目应审尽审，总体把握辖区能耗指标，研究项目可行性达100%，100%按时拨付，100%节约成本。建立和完善项目库，推动全区项目有效投资，实现经济收入稳增长。根据产业政策要求，避免限制类、淘汰类项目落户我区。收益对象满意度达10%</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发现的问题及原因：预算执行率未达到预定目标。</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w:t>
      </w:r>
    </w:p>
    <w:p>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p>
      <w:pPr>
        <w:spacing w:before="105" w:line="219" w:lineRule="auto"/>
        <w:jc w:val="center"/>
        <w:rPr>
          <w:rFonts w:ascii="宋体" w:hAnsi="宋体" w:eastAsia="宋体" w:cs="宋体"/>
          <w:b/>
          <w:bCs/>
          <w:spacing w:val="17"/>
          <w:sz w:val="43"/>
          <w:szCs w:val="43"/>
        </w:rPr>
      </w:pP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90" w:type="dxa"/>
            <w:gridSpan w:val="2"/>
            <w:noWrap w:val="0"/>
            <w:vAlign w:val="center"/>
          </w:tcPr>
          <w:p>
            <w:pPr>
              <w:spacing w:before="63" w:line="226" w:lineRule="auto"/>
              <w:ind w:left="239"/>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pPr>
              <w:jc w:val="center"/>
              <w:rPr>
                <w:rFonts w:hint="eastAsia" w:ascii="Arial" w:eastAsia="宋体"/>
                <w:sz w:val="21"/>
                <w:lang w:val="en-US" w:eastAsia="zh-CN"/>
              </w:rPr>
            </w:pPr>
            <w:r>
              <w:rPr>
                <w:rFonts w:hint="eastAsia" w:ascii="Arial"/>
                <w:sz w:val="21"/>
                <w:lang w:val="en-US" w:eastAsia="zh-CN"/>
              </w:rPr>
              <w:t>全区项目申报前期经费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pPr>
              <w:rPr>
                <w:rFonts w:ascii="Arial"/>
                <w:sz w:val="21"/>
              </w:rPr>
            </w:pPr>
          </w:p>
        </w:tc>
        <w:tc>
          <w:tcPr>
            <w:tcW w:w="1329" w:type="dxa"/>
            <w:noWrap w:val="0"/>
            <w:vAlign w:val="center"/>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pPr>
              <w:rPr>
                <w:rFonts w:ascii="Arial"/>
                <w:sz w:val="21"/>
              </w:rPr>
            </w:pPr>
          </w:p>
        </w:tc>
        <w:tc>
          <w:tcPr>
            <w:tcW w:w="1132" w:type="dxa"/>
            <w:noWrap w:val="0"/>
            <w:vAlign w:val="center"/>
          </w:tcPr>
          <w:p>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pPr>
              <w:jc w:val="center"/>
              <w:rPr>
                <w:rFonts w:hint="default" w:ascii="Arial" w:eastAsia="宋体"/>
                <w:sz w:val="21"/>
                <w:lang w:val="en-US" w:eastAsia="zh-CN"/>
              </w:rPr>
            </w:pPr>
            <w:r>
              <w:rPr>
                <w:rFonts w:hint="eastAsia" w:ascii="Arial"/>
                <w:sz w:val="21"/>
                <w:lang w:val="en-US" w:eastAsia="zh-CN"/>
              </w:rPr>
              <w:t>1000</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106.4</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10.64%</w:t>
            </w:r>
          </w:p>
        </w:tc>
        <w:tc>
          <w:tcPr>
            <w:tcW w:w="2202"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center"/>
          </w:tcPr>
          <w:p>
            <w:pPr>
              <w:spacing w:line="269" w:lineRule="auto"/>
              <w:rPr>
                <w:rFonts w:ascii="Arial"/>
                <w:sz w:val="21"/>
              </w:rPr>
            </w:pPr>
          </w:p>
          <w:p>
            <w:pPr>
              <w:spacing w:line="269" w:lineRule="auto"/>
              <w:rPr>
                <w:rFonts w:ascii="Arial"/>
                <w:sz w:val="21"/>
              </w:rPr>
            </w:pPr>
          </w:p>
          <w:p>
            <w:pPr>
              <w:jc w:val="both"/>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tcBorders>
              <w:bottom w:val="single" w:color="auto" w:sz="4" w:space="0"/>
            </w:tcBorders>
            <w:noWrap w:val="0"/>
            <w:vAlign w:val="center"/>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tcBorders>
              <w:bottom w:val="single" w:color="auto" w:sz="4" w:space="0"/>
            </w:tcBorders>
            <w:noWrap w:val="0"/>
            <w:vAlign w:val="center"/>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tcBorders>
              <w:bottom w:val="single" w:color="auto" w:sz="4" w:space="0"/>
            </w:tcBorders>
            <w:noWrap w:val="0"/>
            <w:vAlign w:val="center"/>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814" w:type="dxa"/>
            <w:vMerge w:val="continue"/>
            <w:tcBorders>
              <w:right w:val="single" w:color="auto" w:sz="4" w:space="0"/>
            </w:tcBorders>
            <w:noWrap w:val="0"/>
            <w:vAlign w:val="center"/>
          </w:tcPr>
          <w:p>
            <w:pPr>
              <w:rPr>
                <w:rFonts w:ascii="Arial"/>
                <w:sz w:val="21"/>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bCs/>
              </w:rPr>
              <w:t>产出</w:t>
            </w:r>
          </w:p>
          <w:p>
            <w:pPr>
              <w:jc w:val="center"/>
              <w:rPr>
                <w:rFonts w:hint="eastAsia"/>
                <w:b/>
                <w:bCs/>
                <w:lang w:val="en-US" w:eastAsia="zh-CN"/>
              </w:rPr>
            </w:pPr>
            <w:r>
              <w:rPr>
                <w:rFonts w:hint="eastAsia"/>
                <w:b/>
                <w:bCs/>
                <w:lang w:val="en-US" w:eastAsia="zh-CN"/>
              </w:rPr>
              <w:t>指标</w:t>
            </w:r>
          </w:p>
          <w:p>
            <w:pPr>
              <w:jc w:val="center"/>
              <w:rPr>
                <w:rFonts w:hint="eastAsia" w:eastAsia="宋体"/>
                <w:b/>
                <w:bCs/>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据实结算</w:t>
            </w:r>
          </w:p>
        </w:tc>
        <w:tc>
          <w:tcPr>
            <w:tcW w:w="1458" w:type="dxa"/>
            <w:tcBorders>
              <w:left w:val="single" w:color="auto" w:sz="4" w:space="0"/>
            </w:tcBorders>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质量指标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对辖区政府投资项目应审尽审，总体把握辖区能耗指标，研究项目可行性。</w:t>
            </w:r>
          </w:p>
        </w:tc>
        <w:tc>
          <w:tcPr>
            <w:tcW w:w="1458" w:type="dxa"/>
            <w:tcBorders>
              <w:left w:val="single" w:color="auto" w:sz="4" w:space="0"/>
            </w:tcBorders>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时效指标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按时拨付</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宋体" w:cs="Times New Roman"/>
                <w:b/>
                <w:bCs/>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成本指标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节约成本</w:t>
            </w:r>
          </w:p>
        </w:tc>
        <w:tc>
          <w:tcPr>
            <w:tcW w:w="1458" w:type="dxa"/>
            <w:tcBorders>
              <w:left w:val="single" w:color="auto" w:sz="4" w:space="0"/>
            </w:tcBorders>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vMerge w:val="restart"/>
            <w:tcBorders>
              <w:top w:val="single" w:color="auto" w:sz="4" w:space="0"/>
              <w:left w:val="single" w:color="auto" w:sz="4" w:space="0"/>
              <w:right w:val="single" w:color="auto" w:sz="4" w:space="0"/>
            </w:tcBorders>
            <w:noWrap w:val="0"/>
            <w:vAlign w:val="center"/>
          </w:tcPr>
          <w:p>
            <w:pPr>
              <w:jc w:val="center"/>
              <w:rPr>
                <w:rFonts w:hint="eastAsia" w:cs="Times New Roman"/>
                <w:b/>
                <w:bCs/>
                <w:lang w:eastAsia="zh-CN"/>
              </w:rPr>
            </w:pPr>
            <w:r>
              <w:rPr>
                <w:rFonts w:hint="eastAsia" w:cs="Times New Roman"/>
                <w:b/>
                <w:bCs/>
                <w:lang w:eastAsia="zh-CN"/>
              </w:rPr>
              <w:t>效益</w:t>
            </w:r>
          </w:p>
          <w:p>
            <w:pPr>
              <w:jc w:val="center"/>
              <w:rPr>
                <w:rFonts w:hint="eastAsia" w:ascii="Calibri" w:hAnsi="Calibri" w:eastAsia="宋体" w:cs="Times New Roman"/>
                <w:b/>
                <w:bCs/>
                <w:kern w:val="2"/>
                <w:sz w:val="21"/>
                <w:lang w:val="en-US" w:eastAsia="zh-CN" w:bidi="ar-SA"/>
              </w:rPr>
            </w:pPr>
            <w:r>
              <w:rPr>
                <w:rFonts w:hint="eastAsia" w:cs="Times New Roman"/>
                <w:b/>
                <w:bCs/>
                <w:lang w:eastAsia="zh-CN"/>
              </w:rPr>
              <w:t>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经济效益指标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建立和完善项目库，推动全区项目有效投资，实现经济收入稳增长。</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left w:val="single" w:color="auto" w:sz="4" w:space="0"/>
              <w:right w:val="single" w:color="auto" w:sz="4" w:space="0"/>
            </w:tcBorders>
            <w:noWrap w:val="0"/>
            <w:vAlign w:val="center"/>
          </w:tcPr>
          <w:p>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社会效益指标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根据产业政策要求，避免限制类、淘汰类项目落户我区。</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left w:val="single" w:color="auto" w:sz="4" w:space="0"/>
              <w:bottom w:val="single" w:color="auto" w:sz="4" w:space="0"/>
              <w:right w:val="single" w:color="auto" w:sz="4" w:space="0"/>
            </w:tcBorders>
            <w:noWrap w:val="0"/>
            <w:vAlign w:val="center"/>
          </w:tcPr>
          <w:p>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环境效益指标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对项目进行专家评审，使项目具备开工可行性。</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Times New Roman"/>
                <w:b/>
                <w:bCs/>
                <w:lang w:eastAsia="zh-CN"/>
              </w:rPr>
            </w:pPr>
            <w:r>
              <w:rPr>
                <w:rFonts w:hint="eastAsia" w:cs="Times New Roman"/>
                <w:b/>
                <w:bCs/>
                <w:lang w:eastAsia="zh-CN"/>
              </w:rPr>
              <w:t>满意度指标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具体指标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收益对象满意度</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pPr>
              <w:jc w:val="center"/>
              <w:rPr>
                <w:rFonts w:hint="default" w:ascii="Arial" w:eastAsia="宋体"/>
                <w:sz w:val="21"/>
                <w:lang w:val="en-US" w:eastAsia="zh-CN"/>
              </w:rPr>
            </w:pPr>
            <w:r>
              <w:rPr>
                <w:rFonts w:hint="eastAsia" w:ascii="Arial"/>
                <w:sz w:val="21"/>
                <w:lang w:val="en-US" w:eastAsia="zh-CN"/>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pPr>
              <w:jc w:val="center"/>
              <w:rPr>
                <w:b/>
                <w:bCs/>
              </w:rPr>
            </w:pPr>
            <w:r>
              <w:rPr>
                <w:b/>
                <w:bCs/>
              </w:rPr>
              <w:t>偏差大或目标未完成原因</w:t>
            </w:r>
          </w:p>
          <w:p>
            <w:pPr>
              <w:jc w:val="center"/>
              <w:rPr>
                <w:rFonts w:ascii="宋体" w:hAnsi="宋体" w:eastAsia="宋体" w:cs="宋体"/>
                <w:b/>
                <w:bCs/>
                <w:spacing w:val="4"/>
                <w:sz w:val="22"/>
                <w:szCs w:val="22"/>
              </w:rPr>
            </w:pPr>
            <w:r>
              <w:rPr>
                <w:b/>
                <w:bCs/>
              </w:rPr>
              <w:t>分析</w:t>
            </w:r>
          </w:p>
        </w:tc>
        <w:tc>
          <w:tcPr>
            <w:tcW w:w="8115" w:type="dxa"/>
            <w:gridSpan w:val="8"/>
            <w:noWrap w:val="0"/>
            <w:vAlign w:val="center"/>
          </w:tcPr>
          <w:p>
            <w:pPr>
              <w:jc w:val="left"/>
              <w:rPr>
                <w:rFonts w:hint="default" w:ascii="Arial"/>
                <w:sz w:val="21"/>
                <w:lang w:val="en-US" w:eastAsia="zh-CN"/>
              </w:rPr>
            </w:pPr>
            <w:r>
              <w:rPr>
                <w:rFonts w:hint="eastAsia" w:ascii="Arial"/>
                <w:sz w:val="21"/>
                <w:lang w:val="en-US" w:eastAsia="zh-CN"/>
              </w:rPr>
              <w:t>预算偏差大的原因是：年初预算该项目经费1000万元，因财政拨付渠道有变化，所以财政收回该笔预算的840万元直接拨付给街道和部门单位。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pPr>
              <w:jc w:val="center"/>
              <w:rPr>
                <w:b/>
                <w:bCs/>
              </w:rPr>
            </w:pPr>
            <w:r>
              <w:rPr>
                <w:b/>
                <w:bCs/>
              </w:rPr>
              <w:t>改进措施及结果应用方案</w:t>
            </w:r>
          </w:p>
        </w:tc>
        <w:tc>
          <w:tcPr>
            <w:tcW w:w="8115" w:type="dxa"/>
            <w:gridSpan w:val="8"/>
            <w:noWrap w:val="0"/>
            <w:vAlign w:val="center"/>
          </w:tcPr>
          <w:p>
            <w:pPr>
              <w:jc w:val="center"/>
              <w:rPr>
                <w:rFonts w:hint="eastAsia" w:ascii="Arial"/>
                <w:sz w:val="21"/>
                <w:lang w:val="en-US" w:eastAsia="zh-CN"/>
              </w:rPr>
            </w:pPr>
          </w:p>
        </w:tc>
      </w:tr>
    </w:tbl>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b/>
          <w:bCs/>
          <w:color w:val="000000"/>
          <w:kern w:val="0"/>
          <w:sz w:val="28"/>
          <w:szCs w:val="28"/>
          <w:shd w:val="clear" w:color="auto" w:fill="FFFFFF"/>
          <w:lang w:val="en-US" w:eastAsia="zh-CN"/>
        </w:rPr>
        <w:t>4</w:t>
      </w:r>
      <w:r>
        <w:rPr>
          <w:rFonts w:hint="eastAsia" w:ascii="宋体" w:hAnsi="宋体" w:eastAsia="宋体" w:cs="宋体"/>
          <w:b/>
          <w:bCs/>
          <w:color w:val="000000"/>
          <w:kern w:val="0"/>
          <w:sz w:val="28"/>
          <w:szCs w:val="28"/>
          <w:shd w:val="clear" w:color="auto" w:fill="FFFFFF"/>
        </w:rPr>
        <w:t>.</w:t>
      </w:r>
      <w:r>
        <w:rPr>
          <w:rFonts w:hint="eastAsia" w:ascii="宋体" w:hAnsi="宋体" w:eastAsia="宋体" w:cs="宋体"/>
          <w:b/>
          <w:bCs/>
          <w:color w:val="000000"/>
          <w:kern w:val="0"/>
          <w:sz w:val="28"/>
          <w:szCs w:val="28"/>
          <w:shd w:val="clear" w:color="auto" w:fill="FFFFFF"/>
          <w:lang w:eastAsia="zh-CN"/>
        </w:rPr>
        <w:t>服务业进规奖励</w:t>
      </w:r>
      <w:r>
        <w:rPr>
          <w:rFonts w:hint="eastAsia" w:ascii="宋体" w:hAnsi="宋体" w:eastAsia="宋体" w:cs="宋体"/>
          <w:b/>
          <w:bCs/>
          <w:color w:val="000000"/>
          <w:kern w:val="0"/>
          <w:sz w:val="28"/>
          <w:szCs w:val="28"/>
          <w:shd w:val="clear" w:color="auto" w:fill="FFFFFF"/>
          <w:lang w:val="en-US" w:eastAsia="zh-CN"/>
        </w:rPr>
        <w:t>经费</w:t>
      </w:r>
      <w:r>
        <w:rPr>
          <w:rFonts w:hint="eastAsia" w:ascii="宋体" w:hAnsi="宋体" w:eastAsia="宋体" w:cs="宋体"/>
          <w:b/>
          <w:bCs/>
          <w:color w:val="000000"/>
          <w:kern w:val="0"/>
          <w:sz w:val="28"/>
          <w:szCs w:val="28"/>
          <w:shd w:val="clear" w:color="auto" w:fill="FFFFFF"/>
        </w:rPr>
        <w:t>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项目全年预算数为20万元，其中：一般公共预算财政拨款20万元。执行数为20万元，完成预算100%。</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主要产出和效益：100%据实结算，100%按时拨付，100%节约成本。100%增加我区税收收入，100%推动服务业重点产业发展，争创省级示范区，实现我区经济稳增长100%。收益对象满意度达100%</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发现的问题及原因：无。</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w:t>
      </w:r>
    </w:p>
    <w:p>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p>
      <w:pPr>
        <w:spacing w:before="105" w:line="219" w:lineRule="auto"/>
        <w:jc w:val="center"/>
        <w:rPr>
          <w:rFonts w:ascii="宋体" w:hAnsi="宋体" w:eastAsia="宋体" w:cs="宋体"/>
          <w:b/>
          <w:bCs/>
          <w:spacing w:val="17"/>
          <w:sz w:val="43"/>
          <w:szCs w:val="43"/>
        </w:rPr>
      </w:pP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90" w:type="dxa"/>
            <w:gridSpan w:val="2"/>
            <w:noWrap w:val="0"/>
            <w:vAlign w:val="center"/>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pPr>
              <w:jc w:val="center"/>
              <w:rPr>
                <w:rFonts w:hint="eastAsia" w:ascii="Arial" w:eastAsia="宋体"/>
                <w:sz w:val="21"/>
                <w:lang w:eastAsia="zh-CN"/>
              </w:rPr>
            </w:pPr>
            <w:r>
              <w:rPr>
                <w:rFonts w:hint="eastAsia" w:ascii="Arial"/>
                <w:sz w:val="21"/>
                <w:lang w:eastAsia="zh-CN"/>
              </w:rPr>
              <w:t>服务业进规奖励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pPr>
              <w:rPr>
                <w:rFonts w:ascii="Arial"/>
                <w:sz w:val="21"/>
              </w:rPr>
            </w:pPr>
          </w:p>
        </w:tc>
        <w:tc>
          <w:tcPr>
            <w:tcW w:w="1329" w:type="dxa"/>
            <w:noWrap w:val="0"/>
            <w:vAlign w:val="center"/>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pPr>
              <w:rPr>
                <w:rFonts w:ascii="Arial"/>
                <w:sz w:val="21"/>
              </w:rPr>
            </w:pPr>
          </w:p>
        </w:tc>
        <w:tc>
          <w:tcPr>
            <w:tcW w:w="1132" w:type="dxa"/>
            <w:noWrap w:val="0"/>
            <w:vAlign w:val="center"/>
          </w:tcPr>
          <w:p>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pPr>
              <w:jc w:val="cente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20</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2202"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814" w:type="dxa"/>
            <w:vMerge w:val="restart"/>
            <w:noWrap w:val="0"/>
            <w:vAlign w:val="center"/>
          </w:tcPr>
          <w:p>
            <w:pPr>
              <w:spacing w:line="269" w:lineRule="auto"/>
              <w:rPr>
                <w:rFonts w:ascii="Arial"/>
                <w:sz w:val="21"/>
              </w:rPr>
            </w:pPr>
          </w:p>
          <w:p>
            <w:pPr>
              <w:spacing w:line="269" w:lineRule="auto"/>
              <w:rPr>
                <w:rFonts w:ascii="Arial"/>
                <w:sz w:val="21"/>
              </w:rPr>
            </w:pPr>
          </w:p>
          <w:p>
            <w:pPr>
              <w:jc w:val="both"/>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noWrap w:val="0"/>
            <w:vAlign w:val="center"/>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noWrap w:val="0"/>
            <w:vAlign w:val="center"/>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center"/>
          </w:tcPr>
          <w:p>
            <w:pPr>
              <w:rPr>
                <w:rFonts w:ascii="Arial"/>
                <w:sz w:val="21"/>
              </w:rPr>
            </w:pPr>
          </w:p>
        </w:tc>
        <w:tc>
          <w:tcPr>
            <w:tcW w:w="676" w:type="dxa"/>
            <w:vMerge w:val="restart"/>
            <w:noWrap w:val="0"/>
            <w:vAlign w:val="center"/>
          </w:tcPr>
          <w:p>
            <w:pPr>
              <w:jc w:val="center"/>
              <w:rPr>
                <w:b/>
                <w:bCs/>
              </w:rPr>
            </w:pPr>
            <w:r>
              <w:rPr>
                <w:b/>
                <w:bCs/>
              </w:rPr>
              <w:t>产出</w:t>
            </w:r>
          </w:p>
          <w:p>
            <w:pPr>
              <w:jc w:val="center"/>
              <w:rPr>
                <w:rFonts w:hint="eastAsia"/>
                <w:b/>
                <w:bCs/>
                <w:lang w:val="en-US" w:eastAsia="zh-CN"/>
              </w:rPr>
            </w:pPr>
            <w:r>
              <w:rPr>
                <w:rFonts w:hint="eastAsia"/>
                <w:b/>
                <w:bCs/>
                <w:lang w:val="en-US" w:eastAsia="zh-CN"/>
              </w:rPr>
              <w:t>指标</w:t>
            </w:r>
          </w:p>
          <w:p>
            <w:pPr>
              <w:jc w:val="center"/>
              <w:rPr>
                <w:rFonts w:hint="eastAsia" w:eastAsia="宋体"/>
                <w:b/>
                <w:bCs/>
                <w:lang w:val="en-US" w:eastAsia="zh-CN"/>
              </w:rPr>
            </w:pPr>
          </w:p>
        </w:tc>
        <w:tc>
          <w:tcPr>
            <w:tcW w:w="1132" w:type="dxa"/>
            <w:noWrap w:val="0"/>
            <w:vAlign w:val="center"/>
          </w:tcPr>
          <w:p>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noWrap w:val="0"/>
            <w:vAlign w:val="center"/>
          </w:tcPr>
          <w:p>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据实结算</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noWrap w:val="0"/>
            <w:vAlign w:val="center"/>
          </w:tcPr>
          <w:p>
            <w:pPr>
              <w:rPr>
                <w:rFonts w:ascii="Arial"/>
                <w:sz w:val="21"/>
              </w:rPr>
            </w:pPr>
          </w:p>
        </w:tc>
        <w:tc>
          <w:tcPr>
            <w:tcW w:w="676" w:type="dxa"/>
            <w:vMerge w:val="continue"/>
            <w:noWrap w:val="0"/>
            <w:vAlign w:val="center"/>
          </w:tcPr>
          <w:p>
            <w:pPr>
              <w:jc w:val="center"/>
              <w:rPr>
                <w:rFonts w:hint="eastAsia" w:cs="Times New Roman"/>
                <w:b/>
                <w:bCs/>
                <w:lang w:eastAsia="zh-CN"/>
              </w:rPr>
            </w:pPr>
          </w:p>
        </w:tc>
        <w:tc>
          <w:tcPr>
            <w:tcW w:w="1132" w:type="dxa"/>
            <w:noWrap w:val="0"/>
            <w:vAlign w:val="center"/>
          </w:tcPr>
          <w:p>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时效</w:t>
            </w:r>
            <w:r>
              <w:rPr>
                <w:rFonts w:hint="eastAsia" w:ascii="仿宋_GB2312" w:hAnsi="宋体" w:eastAsia="仿宋_GB2312" w:cs="仿宋_GB2312"/>
                <w:kern w:val="0"/>
                <w:szCs w:val="20"/>
              </w:rPr>
              <w:t>指标</w:t>
            </w:r>
          </w:p>
        </w:tc>
        <w:tc>
          <w:tcPr>
            <w:tcW w:w="2647" w:type="dxa"/>
            <w:gridSpan w:val="3"/>
            <w:noWrap w:val="0"/>
            <w:vAlign w:val="center"/>
          </w:tcPr>
          <w:p>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按时拨付</w:t>
            </w:r>
          </w:p>
        </w:tc>
        <w:tc>
          <w:tcPr>
            <w:tcW w:w="145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pPr>
              <w:rPr>
                <w:rFonts w:ascii="Arial"/>
                <w:sz w:val="21"/>
              </w:rPr>
            </w:pPr>
          </w:p>
        </w:tc>
        <w:tc>
          <w:tcPr>
            <w:tcW w:w="676" w:type="dxa"/>
            <w:vMerge w:val="continue"/>
            <w:tcBorders>
              <w:bottom w:val="nil"/>
            </w:tcBorders>
            <w:noWrap w:val="0"/>
            <w:vAlign w:val="center"/>
          </w:tcPr>
          <w:p>
            <w:pPr>
              <w:jc w:val="center"/>
              <w:rPr>
                <w:rFonts w:ascii="Calibri" w:hAnsi="Calibri" w:eastAsia="宋体" w:cs="Times New Roman"/>
                <w:b/>
                <w:bCs/>
              </w:rPr>
            </w:pPr>
          </w:p>
        </w:tc>
        <w:tc>
          <w:tcPr>
            <w:tcW w:w="1132" w:type="dxa"/>
            <w:noWrap w:val="0"/>
            <w:vAlign w:val="center"/>
          </w:tcPr>
          <w:p>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成本指标</w:t>
            </w:r>
          </w:p>
        </w:tc>
        <w:tc>
          <w:tcPr>
            <w:tcW w:w="2647" w:type="dxa"/>
            <w:gridSpan w:val="3"/>
            <w:noWrap w:val="0"/>
            <w:vAlign w:val="center"/>
          </w:tcPr>
          <w:p>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节约成本</w:t>
            </w:r>
          </w:p>
        </w:tc>
        <w:tc>
          <w:tcPr>
            <w:tcW w:w="145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pPr>
              <w:rPr>
                <w:rFonts w:ascii="Arial"/>
                <w:sz w:val="21"/>
              </w:rPr>
            </w:pPr>
          </w:p>
        </w:tc>
        <w:tc>
          <w:tcPr>
            <w:tcW w:w="676" w:type="dxa"/>
            <w:vMerge w:val="restart"/>
            <w:tcBorders>
              <w:top w:val="nil"/>
            </w:tcBorders>
            <w:noWrap w:val="0"/>
            <w:vAlign w:val="center"/>
          </w:tcPr>
          <w:p>
            <w:pPr>
              <w:jc w:val="center"/>
              <w:rPr>
                <w:rFonts w:hint="eastAsia" w:cs="Times New Roman"/>
                <w:b/>
                <w:bCs/>
                <w:lang w:eastAsia="zh-CN"/>
              </w:rPr>
            </w:pPr>
            <w:r>
              <w:rPr>
                <w:rFonts w:hint="eastAsia" w:cs="Times New Roman"/>
                <w:b/>
                <w:bCs/>
                <w:lang w:eastAsia="zh-CN"/>
              </w:rPr>
              <w:t>效益</w:t>
            </w:r>
          </w:p>
          <w:p>
            <w:pPr>
              <w:jc w:val="center"/>
              <w:rPr>
                <w:rFonts w:hint="eastAsia" w:cs="Times New Roman"/>
                <w:b/>
                <w:bCs/>
                <w:lang w:eastAsia="zh-CN"/>
              </w:rPr>
            </w:pPr>
            <w:r>
              <w:rPr>
                <w:rFonts w:hint="eastAsia" w:cs="Times New Roman"/>
                <w:b/>
                <w:bCs/>
                <w:lang w:eastAsia="zh-CN"/>
              </w:rPr>
              <w:t>指标</w:t>
            </w:r>
          </w:p>
          <w:p>
            <w:pPr>
              <w:jc w:val="center"/>
              <w:rPr>
                <w:rFonts w:hint="eastAsia" w:ascii="Calibri" w:hAnsi="Calibri" w:eastAsia="宋体" w:cs="Times New Roman"/>
                <w:b/>
                <w:bCs/>
                <w:kern w:val="2"/>
                <w:sz w:val="21"/>
                <w:lang w:val="en-US" w:eastAsia="zh-CN" w:bidi="ar-SA"/>
              </w:rPr>
            </w:pPr>
          </w:p>
        </w:tc>
        <w:tc>
          <w:tcPr>
            <w:tcW w:w="1132" w:type="dxa"/>
            <w:noWrap w:val="0"/>
            <w:vAlign w:val="center"/>
          </w:tcPr>
          <w:p>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经济效益</w:t>
            </w:r>
          </w:p>
        </w:tc>
        <w:tc>
          <w:tcPr>
            <w:tcW w:w="2647" w:type="dxa"/>
            <w:gridSpan w:val="3"/>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增加我区税收收入</w:t>
            </w:r>
          </w:p>
        </w:tc>
        <w:tc>
          <w:tcPr>
            <w:tcW w:w="145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pPr>
              <w:rPr>
                <w:rFonts w:ascii="Arial"/>
                <w:sz w:val="21"/>
              </w:rPr>
            </w:pPr>
          </w:p>
        </w:tc>
        <w:tc>
          <w:tcPr>
            <w:tcW w:w="676" w:type="dxa"/>
            <w:vMerge w:val="continue"/>
            <w:tcBorders>
              <w:bottom w:val="nil"/>
            </w:tcBorders>
            <w:noWrap w:val="0"/>
            <w:vAlign w:val="center"/>
          </w:tcPr>
          <w:p>
            <w:pPr>
              <w:jc w:val="center"/>
              <w:rPr>
                <w:rFonts w:ascii="Calibri" w:hAnsi="Calibri" w:eastAsia="宋体" w:cs="Times New Roman"/>
                <w:b/>
                <w:bCs/>
              </w:rPr>
            </w:pPr>
          </w:p>
        </w:tc>
        <w:tc>
          <w:tcPr>
            <w:tcW w:w="1132" w:type="dxa"/>
            <w:noWrap w:val="0"/>
            <w:vAlign w:val="center"/>
          </w:tcPr>
          <w:p>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社会效益</w:t>
            </w:r>
          </w:p>
        </w:tc>
        <w:tc>
          <w:tcPr>
            <w:tcW w:w="2647" w:type="dxa"/>
            <w:gridSpan w:val="3"/>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推动服务业重点产业发展，争创省级示范区</w:t>
            </w:r>
          </w:p>
        </w:tc>
        <w:tc>
          <w:tcPr>
            <w:tcW w:w="145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pPr>
              <w:rPr>
                <w:rFonts w:ascii="Arial"/>
                <w:sz w:val="21"/>
              </w:rPr>
            </w:pPr>
          </w:p>
        </w:tc>
        <w:tc>
          <w:tcPr>
            <w:tcW w:w="676" w:type="dxa"/>
            <w:vMerge w:val="restart"/>
            <w:noWrap w:val="0"/>
            <w:vAlign w:val="center"/>
          </w:tcPr>
          <w:p>
            <w:pPr>
              <w:jc w:val="center"/>
              <w:rPr>
                <w:rFonts w:hint="eastAsia" w:ascii="Calibri" w:hAnsi="Calibri" w:eastAsia="宋体" w:cs="Times New Roman"/>
                <w:b/>
                <w:bCs/>
                <w:lang w:eastAsia="zh-CN"/>
              </w:rPr>
            </w:pPr>
            <w:r>
              <w:rPr>
                <w:rFonts w:hint="eastAsia" w:cs="Times New Roman"/>
                <w:b/>
                <w:bCs/>
                <w:lang w:eastAsia="zh-CN"/>
              </w:rPr>
              <w:t>满意度指标</w:t>
            </w:r>
          </w:p>
        </w:tc>
        <w:tc>
          <w:tcPr>
            <w:tcW w:w="1132" w:type="dxa"/>
            <w:noWrap w:val="0"/>
            <w:vAlign w:val="center"/>
          </w:tcPr>
          <w:p>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具体指标</w:t>
            </w:r>
          </w:p>
        </w:tc>
        <w:tc>
          <w:tcPr>
            <w:tcW w:w="2647" w:type="dxa"/>
            <w:gridSpan w:val="3"/>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收益对象满意度</w:t>
            </w:r>
          </w:p>
        </w:tc>
        <w:tc>
          <w:tcPr>
            <w:tcW w:w="145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pPr>
              <w:rPr>
                <w:rFonts w:ascii="Arial"/>
                <w:sz w:val="21"/>
              </w:rPr>
            </w:pPr>
          </w:p>
        </w:tc>
        <w:tc>
          <w:tcPr>
            <w:tcW w:w="676" w:type="dxa"/>
            <w:vMerge w:val="continue"/>
            <w:tcBorders>
              <w:bottom w:val="nil"/>
            </w:tcBorders>
            <w:noWrap w:val="0"/>
            <w:vAlign w:val="center"/>
          </w:tcPr>
          <w:p>
            <w:pPr>
              <w:jc w:val="center"/>
              <w:rPr>
                <w:rFonts w:ascii="Calibri" w:hAnsi="Calibri" w:eastAsia="宋体" w:cs="Times New Roman"/>
                <w:b/>
                <w:bCs/>
              </w:rPr>
            </w:pPr>
          </w:p>
        </w:tc>
        <w:tc>
          <w:tcPr>
            <w:tcW w:w="1132" w:type="dxa"/>
            <w:noWrap w:val="0"/>
            <w:vAlign w:val="center"/>
          </w:tcPr>
          <w:p>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可持续影响指标</w:t>
            </w:r>
          </w:p>
        </w:tc>
        <w:tc>
          <w:tcPr>
            <w:tcW w:w="2647" w:type="dxa"/>
            <w:gridSpan w:val="3"/>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实现我区经济稳增长</w:t>
            </w:r>
          </w:p>
        </w:tc>
        <w:tc>
          <w:tcPr>
            <w:tcW w:w="145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pPr>
              <w:jc w:val="center"/>
              <w:rPr>
                <w:rFonts w:hint="default" w:ascii="Arial" w:eastAsia="宋体"/>
                <w:sz w:val="21"/>
                <w:lang w:val="en-US" w:eastAsia="zh-CN"/>
              </w:rPr>
            </w:pPr>
            <w:r>
              <w:rPr>
                <w:rFonts w:hint="eastAsia" w:ascii="Arial"/>
                <w:sz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pPr>
              <w:jc w:val="center"/>
              <w:rPr>
                <w:b/>
                <w:bCs/>
              </w:rPr>
            </w:pPr>
            <w:r>
              <w:rPr>
                <w:b/>
                <w:bCs/>
              </w:rPr>
              <w:t>偏差大或目标未完成原因</w:t>
            </w:r>
          </w:p>
          <w:p>
            <w:pPr>
              <w:jc w:val="center"/>
              <w:rPr>
                <w:rFonts w:ascii="宋体" w:hAnsi="宋体" w:eastAsia="宋体" w:cs="宋体"/>
                <w:b/>
                <w:bCs/>
                <w:spacing w:val="4"/>
                <w:sz w:val="22"/>
                <w:szCs w:val="22"/>
              </w:rPr>
            </w:pPr>
            <w:r>
              <w:rPr>
                <w:b/>
                <w:bCs/>
              </w:rPr>
              <w:t>分析</w:t>
            </w:r>
          </w:p>
        </w:tc>
        <w:tc>
          <w:tcPr>
            <w:tcW w:w="8115" w:type="dxa"/>
            <w:gridSpan w:val="8"/>
            <w:noWrap w:val="0"/>
            <w:vAlign w:val="center"/>
          </w:tcPr>
          <w:p>
            <w:pPr>
              <w:jc w:val="center"/>
              <w:rPr>
                <w:rFonts w:hint="eastAsia"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pPr>
              <w:jc w:val="center"/>
              <w:rPr>
                <w:b/>
                <w:bCs/>
              </w:rPr>
            </w:pPr>
            <w:r>
              <w:rPr>
                <w:b/>
                <w:bCs/>
              </w:rPr>
              <w:t>改进措施及结果应用方案</w:t>
            </w:r>
          </w:p>
        </w:tc>
        <w:tc>
          <w:tcPr>
            <w:tcW w:w="8115" w:type="dxa"/>
            <w:gridSpan w:val="8"/>
            <w:noWrap w:val="0"/>
            <w:vAlign w:val="center"/>
          </w:tcPr>
          <w:p>
            <w:pPr>
              <w:jc w:val="center"/>
              <w:rPr>
                <w:rFonts w:hint="eastAsia" w:ascii="Arial"/>
                <w:sz w:val="21"/>
                <w:lang w:val="en-US" w:eastAsia="zh-CN"/>
              </w:rPr>
            </w:pPr>
          </w:p>
        </w:tc>
      </w:tr>
    </w:tbl>
    <w:p>
      <w:pPr>
        <w:rPr>
          <w:rFonts w:ascii="Arial"/>
          <w:sz w:val="21"/>
        </w:rPr>
      </w:pP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b/>
          <w:bCs/>
          <w:color w:val="000000"/>
          <w:kern w:val="0"/>
          <w:sz w:val="28"/>
          <w:szCs w:val="28"/>
          <w:shd w:val="clear" w:color="auto" w:fill="FFFFFF"/>
          <w:lang w:val="en-US" w:eastAsia="zh-CN"/>
        </w:rPr>
        <w:t>5</w:t>
      </w:r>
      <w:r>
        <w:rPr>
          <w:rFonts w:hint="eastAsia" w:ascii="宋体" w:hAnsi="宋体" w:eastAsia="宋体" w:cs="宋体"/>
          <w:b/>
          <w:bCs/>
          <w:color w:val="000000"/>
          <w:kern w:val="0"/>
          <w:sz w:val="28"/>
          <w:szCs w:val="28"/>
          <w:shd w:val="clear" w:color="auto" w:fill="FFFFFF"/>
        </w:rPr>
        <w:t>.</w:t>
      </w:r>
      <w:r>
        <w:rPr>
          <w:rFonts w:hint="eastAsia" w:ascii="宋体" w:hAnsi="宋体" w:eastAsia="宋体" w:cs="宋体"/>
          <w:b/>
          <w:bCs/>
          <w:color w:val="000000"/>
          <w:kern w:val="0"/>
          <w:sz w:val="28"/>
          <w:szCs w:val="28"/>
          <w:shd w:val="clear" w:color="auto" w:fill="FFFFFF"/>
          <w:lang w:eastAsia="zh-CN"/>
        </w:rPr>
        <w:t>光伏发电补助资金</w:t>
      </w:r>
      <w:r>
        <w:rPr>
          <w:rFonts w:hint="eastAsia" w:ascii="宋体" w:hAnsi="宋体" w:eastAsia="宋体" w:cs="宋体"/>
          <w:b/>
          <w:bCs/>
          <w:color w:val="000000"/>
          <w:kern w:val="0"/>
          <w:sz w:val="28"/>
          <w:szCs w:val="28"/>
          <w:shd w:val="clear" w:color="auto" w:fill="FFFFFF"/>
          <w:lang w:val="en-US" w:eastAsia="zh-CN"/>
        </w:rPr>
        <w:t>经费</w:t>
      </w:r>
      <w:r>
        <w:rPr>
          <w:rFonts w:hint="eastAsia" w:ascii="宋体" w:hAnsi="宋体" w:eastAsia="宋体" w:cs="宋体"/>
          <w:b/>
          <w:bCs/>
          <w:color w:val="000000"/>
          <w:kern w:val="0"/>
          <w:sz w:val="28"/>
          <w:szCs w:val="28"/>
          <w:shd w:val="clear" w:color="auto" w:fill="FFFFFF"/>
        </w:rPr>
        <w:t>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项目全年预算数为16万元，其中：一般公共预算财政拨款16万元。执行数为15.6万元，完成预算97.5%。</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对全区光伏发电节能企业进行奖励（据实结算）100%，鼓励支持我区光伏发电产业发展，加快推进新能源示范城市创建工作100%，按发电量每千瓦时0.1元的标准享受补贴100%。100%自发自用，余电上网，100%推动光伏发电风电新能源产业高质量发展，收益对象满意度达100%</w:t>
      </w:r>
    </w:p>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发现的问题及原因：无。</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w:t>
      </w:r>
    </w:p>
    <w:p>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90" w:type="dxa"/>
            <w:gridSpan w:val="2"/>
            <w:noWrap w:val="0"/>
            <w:vAlign w:val="center"/>
          </w:tcPr>
          <w:p>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pPr>
              <w:jc w:val="center"/>
              <w:rPr>
                <w:rFonts w:hint="eastAsia" w:ascii="Arial" w:eastAsia="宋体"/>
                <w:sz w:val="21"/>
                <w:lang w:eastAsia="zh-CN"/>
              </w:rPr>
            </w:pPr>
            <w:r>
              <w:rPr>
                <w:rFonts w:hint="eastAsia" w:ascii="Arial"/>
                <w:sz w:val="21"/>
                <w:lang w:eastAsia="zh-CN"/>
              </w:rPr>
              <w:t>光伏发电补助资金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pPr>
              <w:rPr>
                <w:rFonts w:ascii="Arial"/>
                <w:sz w:val="21"/>
              </w:rPr>
            </w:pPr>
          </w:p>
        </w:tc>
        <w:tc>
          <w:tcPr>
            <w:tcW w:w="1329" w:type="dxa"/>
            <w:noWrap w:val="0"/>
            <w:vAlign w:val="center"/>
          </w:tcPr>
          <w:p>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pPr>
              <w:rPr>
                <w:rFonts w:ascii="Arial"/>
                <w:sz w:val="21"/>
              </w:rPr>
            </w:pPr>
          </w:p>
        </w:tc>
        <w:tc>
          <w:tcPr>
            <w:tcW w:w="1132" w:type="dxa"/>
            <w:noWrap w:val="0"/>
            <w:vAlign w:val="center"/>
          </w:tcPr>
          <w:p>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pPr>
              <w:jc w:val="center"/>
              <w:rPr>
                <w:rFonts w:hint="default" w:ascii="Arial" w:eastAsia="宋体"/>
                <w:sz w:val="21"/>
                <w:lang w:val="en-US" w:eastAsia="zh-CN"/>
              </w:rPr>
            </w:pPr>
            <w:r>
              <w:rPr>
                <w:rFonts w:hint="eastAsia" w:ascii="Arial"/>
                <w:sz w:val="21"/>
                <w:lang w:val="en-US" w:eastAsia="zh-CN"/>
              </w:rPr>
              <w:t>16</w:t>
            </w:r>
          </w:p>
        </w:tc>
        <w:tc>
          <w:tcPr>
            <w:tcW w:w="1318"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15.6</w:t>
            </w:r>
          </w:p>
        </w:tc>
        <w:tc>
          <w:tcPr>
            <w:tcW w:w="1458" w:type="dxa"/>
            <w:noWrap w:val="0"/>
            <w:vAlign w:val="center"/>
          </w:tcPr>
          <w:p>
            <w:pPr>
              <w:jc w:val="center"/>
              <w:rPr>
                <w:rFonts w:hint="default" w:ascii="Arial" w:eastAsia="宋体"/>
                <w:sz w:val="21"/>
                <w:lang w:val="en-US" w:eastAsia="zh-CN"/>
              </w:rPr>
            </w:pPr>
            <w:r>
              <w:rPr>
                <w:rFonts w:hint="eastAsia" w:ascii="Arial"/>
                <w:sz w:val="21"/>
                <w:lang w:val="en-US" w:eastAsia="zh-CN"/>
              </w:rPr>
              <w:t>97.62%</w:t>
            </w:r>
          </w:p>
        </w:tc>
        <w:tc>
          <w:tcPr>
            <w:tcW w:w="2202" w:type="dxa"/>
            <w:gridSpan w:val="2"/>
            <w:noWrap w:val="0"/>
            <w:vAlign w:val="center"/>
          </w:tcPr>
          <w:p>
            <w:pPr>
              <w:jc w:val="center"/>
              <w:rPr>
                <w:rFonts w:hint="default" w:ascii="Arial" w:eastAsia="宋体"/>
                <w:sz w:val="21"/>
                <w:lang w:val="en-US" w:eastAsia="zh-CN"/>
              </w:rPr>
            </w:pPr>
            <w:r>
              <w:rPr>
                <w:rFonts w:hint="eastAsia" w:ascii="Arial"/>
                <w:sz w:val="21"/>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center"/>
          </w:tcPr>
          <w:p>
            <w:pPr>
              <w:spacing w:line="269" w:lineRule="auto"/>
              <w:rPr>
                <w:rFonts w:ascii="Arial"/>
                <w:sz w:val="21"/>
              </w:rPr>
            </w:pPr>
          </w:p>
          <w:p>
            <w:pPr>
              <w:spacing w:line="269" w:lineRule="auto"/>
              <w:rPr>
                <w:rFonts w:ascii="Arial"/>
                <w:sz w:val="21"/>
              </w:rPr>
            </w:pPr>
          </w:p>
          <w:p>
            <w:pPr>
              <w:jc w:val="both"/>
              <w:rPr>
                <w:b/>
                <w:bCs/>
              </w:rPr>
            </w:pPr>
          </w:p>
          <w:p>
            <w:pPr>
              <w:jc w:val="center"/>
              <w:rPr>
                <w:b/>
                <w:bCs/>
              </w:rPr>
            </w:pPr>
            <w:r>
              <w:rPr>
                <w:b/>
                <w:bCs/>
              </w:rPr>
              <w:t>年</w:t>
            </w:r>
          </w:p>
          <w:p>
            <w:pPr>
              <w:jc w:val="center"/>
              <w:rPr>
                <w:b/>
                <w:bCs/>
              </w:rPr>
            </w:pPr>
            <w:r>
              <w:rPr>
                <w:b/>
                <w:bCs/>
              </w:rPr>
              <w:t>度</w:t>
            </w:r>
          </w:p>
          <w:p>
            <w:pPr>
              <w:jc w:val="center"/>
              <w:rPr>
                <w:b/>
                <w:bCs/>
              </w:rPr>
            </w:pPr>
            <w:r>
              <w:rPr>
                <w:b/>
                <w:bCs/>
              </w:rPr>
              <w:t>绩</w:t>
            </w:r>
          </w:p>
          <w:p>
            <w:pPr>
              <w:jc w:val="center"/>
              <w:rPr>
                <w:b/>
                <w:bCs/>
              </w:rPr>
            </w:pPr>
            <w:r>
              <w:rPr>
                <w:b/>
                <w:bCs/>
              </w:rPr>
              <w:t>效</w:t>
            </w:r>
          </w:p>
          <w:p>
            <w:pPr>
              <w:jc w:val="center"/>
              <w:rPr>
                <w:b/>
                <w:bCs/>
              </w:rPr>
            </w:pPr>
            <w:r>
              <w:rPr>
                <w:b/>
                <w:bCs/>
              </w:rPr>
              <w:t>目</w:t>
            </w:r>
          </w:p>
          <w:p>
            <w:pPr>
              <w:jc w:val="center"/>
              <w:rPr>
                <w:b/>
                <w:bCs/>
              </w:rPr>
            </w:pPr>
            <w:r>
              <w:rPr>
                <w:b/>
                <w:bCs/>
              </w:rPr>
              <w:t>标</w:t>
            </w:r>
          </w:p>
          <w:p>
            <w:pPr>
              <w:jc w:val="center"/>
              <w:rPr>
                <w:b/>
                <w:bCs/>
              </w:rPr>
            </w:pPr>
          </w:p>
          <w:p>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tcBorders>
              <w:bottom w:val="single" w:color="auto" w:sz="4" w:space="0"/>
            </w:tcBorders>
            <w:noWrap w:val="0"/>
            <w:vAlign w:val="center"/>
          </w:tcPr>
          <w:p>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tcBorders>
              <w:bottom w:val="single" w:color="auto" w:sz="4" w:space="0"/>
            </w:tcBorders>
            <w:noWrap w:val="0"/>
            <w:vAlign w:val="center"/>
          </w:tcPr>
          <w:p>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tcBorders>
              <w:bottom w:val="single" w:color="auto" w:sz="4" w:space="0"/>
            </w:tcBorders>
            <w:noWrap w:val="0"/>
            <w:vAlign w:val="center"/>
          </w:tcPr>
          <w:p>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right w:val="single" w:color="auto" w:sz="4" w:space="0"/>
            </w:tcBorders>
            <w:noWrap w:val="0"/>
            <w:vAlign w:val="center"/>
          </w:tcPr>
          <w:p>
            <w:pPr>
              <w:rPr>
                <w:rFonts w:ascii="Arial"/>
                <w:sz w:val="21"/>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bCs/>
              </w:rPr>
              <w:t>产出</w:t>
            </w:r>
          </w:p>
          <w:p>
            <w:pPr>
              <w:jc w:val="center"/>
              <w:rPr>
                <w:rFonts w:hint="eastAsia"/>
                <w:b/>
                <w:bCs/>
                <w:lang w:val="en-US" w:eastAsia="zh-CN"/>
              </w:rPr>
            </w:pPr>
            <w:r>
              <w:rPr>
                <w:rFonts w:hint="eastAsia"/>
                <w:b/>
                <w:bCs/>
                <w:lang w:val="en-US" w:eastAsia="zh-CN"/>
              </w:rPr>
              <w:t>指标</w:t>
            </w:r>
          </w:p>
          <w:p>
            <w:pPr>
              <w:jc w:val="center"/>
              <w:rPr>
                <w:rFonts w:hint="eastAsia" w:eastAsia="宋体"/>
                <w:b/>
                <w:bCs/>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对全区光伏发电节能企业进行奖励（据实结算）</w:t>
            </w:r>
          </w:p>
        </w:tc>
        <w:tc>
          <w:tcPr>
            <w:tcW w:w="1458" w:type="dxa"/>
            <w:tcBorders>
              <w:left w:val="single" w:color="auto" w:sz="4" w:space="0"/>
            </w:tcBorders>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pPr>
              <w:jc w:val="center"/>
              <w:rPr>
                <w:rFonts w:hint="default" w:ascii="Arial" w:eastAsia="宋体"/>
                <w:sz w:val="21"/>
                <w:lang w:val="en-US" w:eastAsia="zh-CN"/>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质量指标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鼓励支持我区光伏发电产业发展，加快推进新能源示范城市创建工作</w:t>
            </w:r>
          </w:p>
        </w:tc>
        <w:tc>
          <w:tcPr>
            <w:tcW w:w="1458" w:type="dxa"/>
            <w:tcBorders>
              <w:left w:val="single" w:color="auto" w:sz="4" w:space="0"/>
            </w:tcBorders>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补贴标准</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按发电量每千瓦时0.1元的标准享受补贴</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宋体" w:cs="Times New Roman"/>
                <w:b/>
                <w:bCs/>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成本指标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自发自用，余电上网</w:t>
            </w:r>
          </w:p>
        </w:tc>
        <w:tc>
          <w:tcPr>
            <w:tcW w:w="1458" w:type="dxa"/>
            <w:tcBorders>
              <w:left w:val="single" w:color="auto" w:sz="4" w:space="0"/>
            </w:tcBorders>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Times New Roman"/>
                <w:b/>
                <w:bCs/>
                <w:lang w:eastAsia="zh-CN"/>
              </w:rPr>
            </w:pPr>
            <w:r>
              <w:rPr>
                <w:rFonts w:hint="eastAsia" w:cs="Times New Roman"/>
                <w:b/>
                <w:bCs/>
                <w:lang w:eastAsia="zh-CN"/>
              </w:rPr>
              <w:t>效益</w:t>
            </w:r>
          </w:p>
          <w:p>
            <w:pPr>
              <w:jc w:val="center"/>
              <w:rPr>
                <w:rFonts w:hint="eastAsia" w:ascii="Calibri" w:hAnsi="Calibri" w:eastAsia="宋体" w:cs="Times New Roman"/>
                <w:b/>
                <w:bCs/>
                <w:kern w:val="2"/>
                <w:sz w:val="21"/>
                <w:lang w:val="en-US" w:eastAsia="zh-CN" w:bidi="ar-SA"/>
              </w:rPr>
            </w:pPr>
            <w:r>
              <w:rPr>
                <w:rFonts w:hint="eastAsia" w:cs="Times New Roman"/>
                <w:b/>
                <w:bCs/>
                <w:lang w:eastAsia="zh-CN"/>
              </w:rPr>
              <w:t>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可持续影响指标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推动光伏发电风电新能源产业高质量发展</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pPr>
              <w:rPr>
                <w:rFonts w:ascii="Arial"/>
                <w:sz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Times New Roman"/>
                <w:b/>
                <w:bCs/>
                <w:lang w:eastAsia="zh-CN"/>
              </w:rPr>
            </w:pPr>
            <w:r>
              <w:rPr>
                <w:rFonts w:hint="eastAsia" w:cs="Times New Roman"/>
                <w:b/>
                <w:bCs/>
                <w:lang w:eastAsia="zh-CN"/>
              </w:rPr>
              <w:t>满意度指标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具体指标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收益对象满意度</w:t>
            </w:r>
          </w:p>
        </w:tc>
        <w:tc>
          <w:tcPr>
            <w:tcW w:w="1458" w:type="dxa"/>
            <w:tcBorders>
              <w:left w:val="single" w:color="auto" w:sz="4" w:space="0"/>
            </w:tcBorders>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pPr>
              <w:jc w:val="center"/>
              <w:rPr>
                <w:rFonts w:hint="default" w:ascii="Arial" w:eastAsia="宋体"/>
                <w:sz w:val="21"/>
                <w:lang w:val="en-US" w:eastAsia="zh-CN"/>
              </w:rPr>
            </w:pPr>
            <w:r>
              <w:rPr>
                <w:rFonts w:hint="eastAsia" w:ascii="Arial"/>
                <w:sz w:val="21"/>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pPr>
              <w:jc w:val="center"/>
              <w:rPr>
                <w:b/>
                <w:bCs/>
              </w:rPr>
            </w:pPr>
            <w:r>
              <w:rPr>
                <w:b/>
                <w:bCs/>
              </w:rPr>
              <w:t>偏差大或目标未完成原因</w:t>
            </w:r>
          </w:p>
          <w:p>
            <w:pPr>
              <w:jc w:val="center"/>
              <w:rPr>
                <w:rFonts w:ascii="宋体" w:hAnsi="宋体" w:eastAsia="宋体" w:cs="宋体"/>
                <w:b/>
                <w:bCs/>
                <w:spacing w:val="4"/>
                <w:sz w:val="22"/>
                <w:szCs w:val="22"/>
              </w:rPr>
            </w:pPr>
            <w:r>
              <w:rPr>
                <w:b/>
                <w:bCs/>
              </w:rPr>
              <w:t>分析</w:t>
            </w:r>
          </w:p>
        </w:tc>
        <w:tc>
          <w:tcPr>
            <w:tcW w:w="8115" w:type="dxa"/>
            <w:gridSpan w:val="8"/>
            <w:noWrap w:val="0"/>
            <w:vAlign w:val="center"/>
          </w:tcPr>
          <w:p>
            <w:pPr>
              <w:jc w:val="center"/>
              <w:rPr>
                <w:rFonts w:hint="eastAsia" w:ascii="Arial"/>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pPr>
              <w:jc w:val="center"/>
              <w:rPr>
                <w:b/>
                <w:bCs/>
              </w:rPr>
            </w:pPr>
            <w:r>
              <w:rPr>
                <w:b/>
                <w:bCs/>
              </w:rPr>
              <w:t>改进措施及结果应用方案</w:t>
            </w:r>
          </w:p>
        </w:tc>
        <w:tc>
          <w:tcPr>
            <w:tcW w:w="8115" w:type="dxa"/>
            <w:gridSpan w:val="8"/>
            <w:noWrap w:val="0"/>
            <w:vAlign w:val="center"/>
          </w:tcPr>
          <w:p>
            <w:pPr>
              <w:jc w:val="center"/>
              <w:rPr>
                <w:rFonts w:hint="eastAsia" w:ascii="Arial"/>
                <w:sz w:val="21"/>
                <w:lang w:val="en-US" w:eastAsia="zh-CN"/>
              </w:rPr>
            </w:pPr>
          </w:p>
        </w:tc>
      </w:tr>
    </w:tbl>
    <w:p>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（三）绩效评级结果应用情况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仿宋_GB2312" w:hAnsi="仿宋" w:eastAsia="仿宋_GB2312" w:cs="仿宋"/>
          <w:sz w:val="32"/>
          <w:szCs w:val="32"/>
          <w:lang w:val="en-US" w:eastAsia="zh-CN"/>
        </w:rPr>
        <w:t>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pPr>
        <w:spacing w:line="560" w:lineRule="exact"/>
        <w:ind w:firstLine="640"/>
        <w:rPr>
          <w:rFonts w:hint="eastAsia" w:ascii="楷体" w:hAnsi="楷体" w:eastAsia="楷体" w:cs="楷体"/>
          <w:b w:val="0"/>
          <w:bCs w:val="0"/>
          <w:color w:val="FF0000"/>
          <w:sz w:val="32"/>
          <w:szCs w:val="32"/>
          <w:highlight w:val="none"/>
          <w:u w:val="none"/>
          <w:lang w:val="en-US" w:eastAsia="zh-CN"/>
        </w:rPr>
      </w:pPr>
      <w:r>
        <w:rPr>
          <w:rFonts w:hint="eastAsia" w:ascii="楷体_GB2312" w:hAnsi="楷体_GB2312" w:eastAsia="楷体_GB2312" w:cs="楷体_GB2312"/>
          <w:b/>
          <w:bCs/>
          <w:sz w:val="32"/>
          <w:szCs w:val="32"/>
          <w:lang w:val="en-US" w:eastAsia="zh-CN"/>
        </w:rPr>
        <w:t>十四、专项支出、转移支付支出情况说明</w:t>
      </w:r>
      <w:r>
        <w:rPr>
          <w:rFonts w:hint="eastAsia" w:ascii="楷体_GB2312" w:hAnsi="楷体_GB2312" w:eastAsia="楷体_GB2312" w:cs="楷体_GB2312"/>
          <w:b/>
          <w:bCs/>
          <w:sz w:val="32"/>
          <w:szCs w:val="32"/>
          <w:lang w:val="en-US" w:eastAsia="zh-CN"/>
        </w:rPr>
        <w:br w:type="textWrapping"/>
      </w:r>
      <w:r>
        <w:rPr>
          <w:rFonts w:hint="eastAsia" w:ascii="仿宋_GB2312" w:hAnsi="仿宋" w:eastAsia="仿宋_GB2312" w:cs="仿宋"/>
          <w:sz w:val="32"/>
          <w:szCs w:val="32"/>
          <w:lang w:val="en-US" w:eastAsia="zh-CN"/>
        </w:rPr>
        <w:t>本部门无财政专项支出、无专项转移支付。</w:t>
      </w:r>
    </w:p>
    <w:p>
      <w:pPr>
        <w:shd w:val="clear" w:color="auto" w:fill="auto"/>
        <w:spacing w:line="560" w:lineRule="exact"/>
        <w:ind w:firstLine="640"/>
        <w:rPr>
          <w:rFonts w:hint="eastAsia" w:ascii="黑体" w:hAnsi="黑体" w:eastAsia="黑体" w:cs="黑体"/>
          <w:sz w:val="32"/>
          <w:szCs w:val="32"/>
          <w:lang w:val="en-US" w:eastAsia="zh-CN"/>
        </w:rPr>
      </w:pPr>
      <w:r>
        <w:rPr>
          <w:rFonts w:hint="eastAsia" w:ascii="宋体" w:hAnsi="宋体" w:eastAsia="宋体" w:cs="宋体"/>
          <w:color w:val="000000"/>
          <w:kern w:val="0"/>
          <w:sz w:val="28"/>
          <w:szCs w:val="28"/>
          <w:shd w:val="clear" w:color="auto" w:fill="FFFFFF"/>
        </w:rPr>
        <w:br w:type="textWrapping"/>
      </w:r>
      <w:r>
        <w:rPr>
          <w:rFonts w:hint="eastAsia" w:ascii="黑体" w:hAnsi="黑体" w:eastAsia="黑体" w:cs="黑体"/>
          <w:sz w:val="32"/>
          <w:szCs w:val="32"/>
          <w:lang w:val="en-US" w:eastAsia="zh-CN"/>
        </w:rPr>
        <w:t>第四部分名词解释</w:t>
      </w:r>
    </w:p>
    <w:p>
      <w:pPr>
        <w:shd w:val="clear" w:color="auto" w:fill="auto"/>
        <w:spacing w:line="560" w:lineRule="exact"/>
        <w:ind w:firstLine="640"/>
        <w:rPr>
          <w:rFonts w:hint="eastAsia" w:ascii="仿宋_GB2312" w:eastAsia="仿宋_GB2312"/>
          <w:bCs/>
          <w:kern w:val="44"/>
          <w:sz w:val="32"/>
          <w:szCs w:val="32"/>
          <w:highlight w:val="none"/>
          <w:lang w:eastAsia="zh-CN"/>
        </w:rPr>
      </w:pPr>
      <w:r>
        <w:rPr>
          <w:rFonts w:hint="eastAsia" w:ascii="仿宋_GB2312" w:hAnsi="仿宋" w:eastAsia="仿宋_GB2312" w:cs="仿宋"/>
          <w:sz w:val="32"/>
          <w:szCs w:val="32"/>
        </w:rPr>
        <w:t>(一)一般公共预算财政拨款收入：</w:t>
      </w:r>
      <w:r>
        <w:rPr>
          <w:rFonts w:hint="default" w:ascii="仿宋_GB2312" w:hAnsi="仿宋" w:eastAsia="仿宋_GB2312" w:cs="仿宋"/>
          <w:sz w:val="32"/>
          <w:szCs w:val="32"/>
        </w:rPr>
        <w:t>指</w:t>
      </w:r>
      <w:r>
        <w:rPr>
          <w:rFonts w:hint="eastAsia" w:ascii="仿宋_GB2312" w:hAnsi="仿宋" w:cs="仿宋"/>
          <w:sz w:val="32"/>
          <w:szCs w:val="32"/>
          <w:lang w:eastAsia="zh-CN"/>
        </w:rPr>
        <w:t>省</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一般公共预算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)政府性基金预算财政拨款收入：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eastAsia="zh-CN"/>
        </w:rPr>
        <w:t>省</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政府性基金预算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预算财政拨款收入：指</w:t>
      </w:r>
      <w:r>
        <w:rPr>
          <w:rFonts w:hint="eastAsia" w:ascii="仿宋_GB2312"/>
          <w:bCs/>
          <w:kern w:val="44"/>
          <w:sz w:val="32"/>
          <w:szCs w:val="32"/>
          <w:highlight w:val="none"/>
          <w:lang w:eastAsia="zh-CN"/>
        </w:rPr>
        <w:t>省</w:t>
      </w:r>
      <w:r>
        <w:rPr>
          <w:rFonts w:hint="eastAsia" w:ascii="仿宋_GB2312" w:eastAsia="仿宋_GB2312"/>
          <w:bCs/>
          <w:kern w:val="44"/>
          <w:sz w:val="32"/>
          <w:szCs w:val="32"/>
          <w:highlight w:val="none"/>
        </w:rPr>
        <w:t>级财政</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预算当年拨付的资金。</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四</w:t>
      </w:r>
      <w:r>
        <w:rPr>
          <w:rFonts w:hint="eastAsia" w:ascii="仿宋_GB2312" w:eastAsia="仿宋_GB2312"/>
          <w:bCs/>
          <w:kern w:val="44"/>
          <w:sz w:val="32"/>
          <w:szCs w:val="32"/>
          <w:highlight w:val="none"/>
        </w:rPr>
        <w:t>)上级补助收入：指从</w:t>
      </w:r>
      <w:r>
        <w:rPr>
          <w:rFonts w:hint="eastAsia" w:ascii="仿宋_GB2312" w:hAnsi="宋体" w:eastAsia="仿宋_GB2312"/>
          <w:sz w:val="32"/>
          <w:szCs w:val="32"/>
          <w:highlight w:val="none"/>
        </w:rPr>
        <w:t>事业单位</w:t>
      </w:r>
      <w:r>
        <w:rPr>
          <w:rFonts w:hint="eastAsia" w:ascii="仿宋_GB2312" w:eastAsia="仿宋_GB2312"/>
          <w:bCs/>
          <w:kern w:val="44"/>
          <w:sz w:val="32"/>
          <w:szCs w:val="32"/>
          <w:highlight w:val="none"/>
        </w:rPr>
        <w:t>主管部门和上级单位取得的非财政补助收入。</w:t>
      </w:r>
    </w:p>
    <w:p>
      <w:pPr>
        <w:pageBreakBefore w:val="0"/>
        <w:widowControl w:val="0"/>
        <w:shd w:val="clear" w:color="auto" w:fill="auto"/>
        <w:kinsoku/>
        <w:wordWrap/>
        <w:overflowPunct/>
        <w:topLinePunct w:val="0"/>
        <w:bidi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五</w:t>
      </w:r>
      <w:r>
        <w:rPr>
          <w:rFonts w:hint="eastAsia" w:ascii="仿宋_GB2312" w:eastAsia="仿宋_GB2312"/>
          <w:bCs/>
          <w:kern w:val="44"/>
          <w:sz w:val="32"/>
          <w:szCs w:val="32"/>
          <w:highlight w:val="none"/>
        </w:rPr>
        <w:t>)事业收入：指事业单位开展专业业务活动及其辅助活动取得的收入。</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六</w:t>
      </w:r>
      <w:r>
        <w:rPr>
          <w:rFonts w:hint="eastAsia" w:ascii="仿宋_GB2312" w:eastAsia="仿宋_GB2312"/>
          <w:bCs/>
          <w:kern w:val="44"/>
          <w:sz w:val="32"/>
          <w:szCs w:val="32"/>
          <w:highlight w:val="none"/>
        </w:rPr>
        <w:t>)经营收入：指事业单位在专业业务活动及其辅助活动之外开展非独立核算经营活动取得的收入。</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hAnsi="宋体" w:eastAsia="仿宋_GB2312"/>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七</w:t>
      </w:r>
      <w:r>
        <w:rPr>
          <w:rFonts w:hint="eastAsia" w:ascii="仿宋_GB2312" w:eastAsia="仿宋_GB2312"/>
          <w:bCs/>
          <w:kern w:val="44"/>
          <w:sz w:val="32"/>
          <w:szCs w:val="32"/>
          <w:highlight w:val="none"/>
        </w:rPr>
        <w:t>)其他收入：指</w:t>
      </w:r>
      <w:r>
        <w:rPr>
          <w:rFonts w:hint="eastAsia" w:ascii="仿宋_GB2312" w:hAnsi="宋体" w:eastAsia="仿宋_GB2312"/>
          <w:sz w:val="32"/>
          <w:szCs w:val="32"/>
          <w:highlight w:val="none"/>
        </w:rPr>
        <w:t>单位取得的除</w:t>
      </w:r>
      <w:r>
        <w:rPr>
          <w:rFonts w:hint="eastAsia" w:ascii="仿宋_GB2312" w:hAnsi="宋体" w:eastAsia="仿宋_GB2312"/>
          <w:sz w:val="32"/>
          <w:szCs w:val="32"/>
          <w:highlight w:val="none"/>
          <w:lang w:eastAsia="zh-CN"/>
        </w:rPr>
        <w:t>上述“一般公共预算财政拨款收入”、“</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rPr>
        <w:t>上级补助收入</w:t>
      </w:r>
      <w:r>
        <w:rPr>
          <w:rFonts w:hint="eastAsia" w:ascii="仿宋_GB2312" w:hAnsi="宋体" w:eastAsia="仿宋_GB2312"/>
          <w:sz w:val="32"/>
          <w:szCs w:val="32"/>
          <w:highlight w:val="none"/>
          <w:lang w:eastAsia="zh-CN"/>
        </w:rPr>
        <w:t>”、“事业收入”、“经营收入”等</w:t>
      </w:r>
      <w:r>
        <w:rPr>
          <w:rFonts w:hint="eastAsia" w:ascii="仿宋_GB2312" w:hAnsi="宋体" w:eastAsia="仿宋_GB2312"/>
          <w:sz w:val="32"/>
          <w:szCs w:val="32"/>
          <w:highlight w:val="none"/>
        </w:rPr>
        <w:t>收入以外的各项收入</w:t>
      </w:r>
      <w:r>
        <w:rPr>
          <w:rFonts w:hint="eastAsia" w:ascii="仿宋_GB2312" w:hAnsi="宋体" w:eastAsia="仿宋_GB2312"/>
          <w:sz w:val="32"/>
          <w:szCs w:val="32"/>
          <w:highlight w:val="none"/>
          <w:lang w:eastAsia="zh-CN"/>
        </w:rPr>
        <w:t>。</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八</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使用非财政拨款结余</w:t>
      </w:r>
      <w:r>
        <w:rPr>
          <w:rFonts w:hint="eastAsia" w:ascii="仿宋_GB2312" w:eastAsia="仿宋_GB2312"/>
          <w:bCs/>
          <w:kern w:val="44"/>
          <w:sz w:val="32"/>
          <w:szCs w:val="32"/>
          <w:highlight w:val="none"/>
        </w:rPr>
        <w:t>：</w:t>
      </w:r>
      <w:r>
        <w:rPr>
          <w:rFonts w:hint="default" w:ascii="FangSong_GB2312" w:hAnsi="FangSong_GB2312" w:eastAsia="FangSong_GB2312"/>
          <w:color w:val="000000"/>
          <w:sz w:val="32"/>
        </w:rPr>
        <w:t>指事业单位</w:t>
      </w:r>
      <w:r>
        <w:rPr>
          <w:rFonts w:hint="eastAsia" w:ascii="FangSong_GB2312" w:hAnsi="FangSong_GB2312" w:eastAsia="FangSong_GB2312"/>
          <w:color w:val="000000"/>
          <w:sz w:val="32"/>
          <w:lang w:eastAsia="zh-CN"/>
        </w:rPr>
        <w:t>使用以前年度积累的非财政拨款结余弥补当年收支差额的金额。</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九</w:t>
      </w:r>
      <w:r>
        <w:rPr>
          <w:rFonts w:hint="eastAsia" w:ascii="仿宋_GB2312" w:eastAsia="仿宋_GB2312"/>
          <w:bCs/>
          <w:kern w:val="44"/>
          <w:sz w:val="32"/>
          <w:szCs w:val="32"/>
          <w:highlight w:val="none"/>
        </w:rPr>
        <w:t>)年初结转和结余：</w:t>
      </w:r>
      <w:r>
        <w:rPr>
          <w:rFonts w:hint="default" w:ascii="FangSong_GB2312" w:hAnsi="FangSong_GB2312" w:eastAsia="FangSong_GB2312"/>
          <w:color w:val="000000"/>
          <w:sz w:val="32"/>
        </w:rPr>
        <w:t>指</w:t>
      </w:r>
      <w:r>
        <w:rPr>
          <w:rFonts w:hint="eastAsia" w:ascii="FangSong_GB2312" w:hAnsi="FangSong_GB2312" w:eastAsia="FangSong_GB2312"/>
          <w:color w:val="000000"/>
          <w:sz w:val="32"/>
          <w:lang w:eastAsia="zh-CN"/>
        </w:rPr>
        <w:t>单位</w:t>
      </w:r>
      <w:r>
        <w:rPr>
          <w:rFonts w:hint="default" w:ascii="FangSong_GB2312" w:hAnsi="FangSong_GB2312" w:eastAsia="FangSong_GB2312"/>
          <w:color w:val="000000"/>
          <w:sz w:val="32"/>
        </w:rPr>
        <w:t>以前年度</w:t>
      </w:r>
      <w:r>
        <w:rPr>
          <w:rFonts w:hint="eastAsia" w:ascii="FangSong_GB2312" w:hAnsi="FangSong_GB2312" w:eastAsia="FangSong_GB2312"/>
          <w:color w:val="000000"/>
          <w:sz w:val="32"/>
          <w:lang w:eastAsia="zh-CN"/>
        </w:rPr>
        <w:t>尚未完成</w:t>
      </w:r>
      <w:r>
        <w:rPr>
          <w:rFonts w:hint="default" w:ascii="FangSong_GB2312" w:hAnsi="FangSong_GB2312" w:eastAsia="FangSong_GB2312"/>
          <w:color w:val="000000"/>
          <w:sz w:val="32"/>
        </w:rPr>
        <w:t>、结转到本年仍按原规定用途继续使用的资金</w:t>
      </w:r>
      <w:r>
        <w:rPr>
          <w:rFonts w:hint="eastAsia" w:ascii="FangSong_GB2312" w:hAnsi="FangSong_GB2312" w:eastAsia="FangSong_GB2312"/>
          <w:color w:val="000000"/>
          <w:sz w:val="32"/>
          <w:lang w:eastAsia="zh-CN"/>
        </w:rPr>
        <w:t>，或项目已完成等产生的结余资金</w:t>
      </w:r>
      <w:r>
        <w:rPr>
          <w:rFonts w:hint="default" w:ascii="FangSong_GB2312" w:hAnsi="FangSong_GB2312" w:eastAsia="FangSong_GB2312"/>
          <w:color w:val="000000"/>
          <w:sz w:val="32"/>
        </w:rPr>
        <w:t>。</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十</w:t>
      </w:r>
      <w:r>
        <w:rPr>
          <w:rFonts w:hint="eastAsia" w:ascii="仿宋_GB2312" w:eastAsia="仿宋_GB2312"/>
          <w:bCs/>
          <w:kern w:val="44"/>
          <w:sz w:val="32"/>
          <w:szCs w:val="32"/>
          <w:highlight w:val="none"/>
        </w:rPr>
        <w:t>)本部门使用的支出功能分类科目(到项级)</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bCs/>
          <w:kern w:val="44"/>
          <w:sz w:val="32"/>
          <w:szCs w:val="32"/>
          <w:highlight w:val="none"/>
        </w:rPr>
        <w:t>1.</w:t>
      </w:r>
      <w:r>
        <w:rPr>
          <w:rFonts w:hint="eastAsia" w:ascii="仿宋_GB2312" w:eastAsia="仿宋_GB2312"/>
          <w:sz w:val="32"/>
          <w:szCs w:val="32"/>
          <w:highlight w:val="none"/>
        </w:rPr>
        <w:t>一般公共服务(类)财政事务(款)行政运行(项)</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sz w:val="32"/>
          <w:szCs w:val="32"/>
          <w:highlight w:val="none"/>
        </w:rPr>
        <w:t>2.…</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4F81BD"/>
          <w:sz w:val="32"/>
          <w:szCs w:val="32"/>
          <w:highlight w:val="none"/>
          <w:lang w:eastAsia="zh-CN"/>
        </w:rPr>
      </w:pPr>
      <w:r>
        <w:rPr>
          <w:rFonts w:hint="eastAsia" w:ascii="仿宋_GB2312" w:eastAsia="仿宋_GB2312"/>
          <w:color w:val="4F81BD"/>
          <w:sz w:val="32"/>
          <w:szCs w:val="32"/>
          <w:highlight w:val="none"/>
          <w:lang w:eastAsia="zh-CN"/>
        </w:rPr>
        <w:t>（</w:t>
      </w:r>
      <w:r>
        <w:rPr>
          <w:rFonts w:hint="eastAsia" w:ascii="仿宋_GB2312" w:eastAsia="仿宋_GB2312"/>
          <w:color w:val="4F81BD"/>
          <w:sz w:val="32"/>
          <w:szCs w:val="32"/>
          <w:highlight w:val="none"/>
        </w:rPr>
        <w:t>参考《</w:t>
      </w:r>
      <w:r>
        <w:rPr>
          <w:rFonts w:hint="eastAsia" w:ascii="仿宋_GB2312"/>
          <w:color w:val="4F81BD"/>
          <w:sz w:val="32"/>
          <w:szCs w:val="32"/>
          <w:highlight w:val="none"/>
          <w:lang w:eastAsia="zh-CN"/>
        </w:rPr>
        <w:t>202</w:t>
      </w:r>
      <w:r>
        <w:rPr>
          <w:rFonts w:hint="eastAsia" w:ascii="仿宋_GB2312"/>
          <w:color w:val="4F81BD"/>
          <w:sz w:val="32"/>
          <w:szCs w:val="32"/>
          <w:highlight w:val="none"/>
          <w:lang w:val="en-US" w:eastAsia="zh-CN"/>
        </w:rPr>
        <w:t>1</w:t>
      </w:r>
      <w:r>
        <w:rPr>
          <w:rFonts w:hint="eastAsia" w:ascii="仿宋_GB2312"/>
          <w:color w:val="4F81BD"/>
          <w:sz w:val="32"/>
          <w:szCs w:val="32"/>
          <w:highlight w:val="none"/>
          <w:lang w:eastAsia="zh-CN"/>
        </w:rPr>
        <w:t>年</w:t>
      </w:r>
      <w:r>
        <w:rPr>
          <w:rFonts w:hint="eastAsia" w:ascii="仿宋_GB2312" w:eastAsia="仿宋_GB2312"/>
          <w:color w:val="4F81BD"/>
          <w:sz w:val="32"/>
          <w:szCs w:val="32"/>
          <w:highlight w:val="none"/>
        </w:rPr>
        <w:t>政府收支分类科目》说明逐项解释</w:t>
      </w:r>
      <w:r>
        <w:rPr>
          <w:rFonts w:hint="eastAsia" w:ascii="仿宋_GB2312" w:eastAsia="仿宋_GB2312"/>
          <w:color w:val="4F81BD"/>
          <w:sz w:val="32"/>
          <w:szCs w:val="32"/>
          <w:highlight w:val="none"/>
          <w:lang w:eastAsia="zh-CN"/>
        </w:rPr>
        <w:t>）</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一</w:t>
      </w:r>
      <w:r>
        <w:rPr>
          <w:rFonts w:hint="eastAsia" w:ascii="仿宋_GB2312" w:eastAsia="仿宋_GB2312"/>
          <w:bCs/>
          <w:kern w:val="44"/>
          <w:sz w:val="32"/>
          <w:szCs w:val="32"/>
          <w:highlight w:val="none"/>
        </w:rPr>
        <w:t>)结余分配：指事业单位按照会计制度规定缴纳</w:t>
      </w:r>
      <w:r>
        <w:rPr>
          <w:rFonts w:hint="eastAsia" w:ascii="仿宋_GB2312" w:eastAsia="仿宋_GB2312"/>
          <w:bCs/>
          <w:kern w:val="44"/>
          <w:sz w:val="32"/>
          <w:szCs w:val="32"/>
          <w:highlight w:val="none"/>
          <w:lang w:eastAsia="zh-CN"/>
        </w:rPr>
        <w:t>的企业</w:t>
      </w:r>
      <w:r>
        <w:rPr>
          <w:rFonts w:hint="eastAsia" w:ascii="仿宋_GB2312" w:eastAsia="仿宋_GB2312"/>
          <w:bCs/>
          <w:kern w:val="44"/>
          <w:sz w:val="32"/>
          <w:szCs w:val="32"/>
          <w:highlight w:val="none"/>
        </w:rPr>
        <w:t>所得税</w:t>
      </w:r>
      <w:r>
        <w:rPr>
          <w:rFonts w:hint="eastAsia" w:ascii="仿宋_GB2312" w:eastAsia="仿宋_GB2312"/>
          <w:bCs/>
          <w:kern w:val="44"/>
          <w:sz w:val="32"/>
          <w:szCs w:val="32"/>
          <w:highlight w:val="none"/>
          <w:lang w:eastAsia="zh-CN"/>
        </w:rPr>
        <w:t>、提取的专用结余以及转入非财政拨款结余的金额</w:t>
      </w:r>
      <w:r>
        <w:rPr>
          <w:rFonts w:hint="eastAsia" w:ascii="仿宋_GB2312" w:eastAsia="仿宋_GB2312"/>
          <w:bCs/>
          <w:kern w:val="44"/>
          <w:sz w:val="32"/>
          <w:szCs w:val="32"/>
          <w:highlight w:val="none"/>
        </w:rPr>
        <w:t>等。</w:t>
      </w:r>
    </w:p>
    <w:p>
      <w:pPr>
        <w:pageBreakBefore w:val="0"/>
        <w:widowControl w:val="0"/>
        <w:numPr>
          <w:ilvl w:val="0"/>
          <w:numId w:val="0"/>
        </w:numPr>
        <w:shd w:val="clear" w:color="auto" w:fill="auto"/>
        <w:kinsoku/>
        <w:wordWrap/>
        <w:overflowPunct/>
        <w:topLinePunct w:val="0"/>
        <w:bidi w:val="0"/>
        <w:adjustRightInd w:val="0"/>
        <w:snapToGrid w:val="0"/>
        <w:spacing w:line="360" w:lineRule="auto"/>
        <w:ind w:firstLine="640" w:firstLineChars="200"/>
        <w:textAlignment w:val="auto"/>
        <w:rPr>
          <w:rFonts w:hint="eastAsia"/>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)年末结转和结余：指单位</w:t>
      </w:r>
      <w:r>
        <w:rPr>
          <w:rFonts w:hint="eastAsia" w:ascii="仿宋_GB2312" w:eastAsia="仿宋_GB2312"/>
          <w:bCs/>
          <w:kern w:val="44"/>
          <w:sz w:val="32"/>
          <w:szCs w:val="32"/>
          <w:highlight w:val="none"/>
          <w:lang w:eastAsia="zh-CN"/>
        </w:rPr>
        <w:t>按有关规定结转到下年或以后年度继续使用的资金</w:t>
      </w:r>
      <w:r>
        <w:rPr>
          <w:rFonts w:hint="eastAsia" w:ascii="仿宋_GB2312" w:eastAsia="仿宋_GB2312"/>
          <w:bCs/>
          <w:kern w:val="44"/>
          <w:sz w:val="32"/>
          <w:szCs w:val="32"/>
          <w:highlight w:val="none"/>
        </w:rPr>
        <w:t>，或项目已完成等产生的结余资金。</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)基本支出：指为保障机构正常运转、完成日常工作任务而发生的</w:t>
      </w:r>
      <w:r>
        <w:rPr>
          <w:rFonts w:ascii="仿宋_GB2312" w:eastAsia="仿宋_GB2312"/>
          <w:bCs/>
          <w:kern w:val="44"/>
          <w:sz w:val="32"/>
          <w:szCs w:val="32"/>
          <w:highlight w:val="none"/>
        </w:rPr>
        <w:t>人员支出和公用支出</w:t>
      </w:r>
      <w:r>
        <w:rPr>
          <w:rFonts w:hint="eastAsia" w:ascii="仿宋_GB2312" w:eastAsia="仿宋_GB2312"/>
          <w:bCs/>
          <w:kern w:val="44"/>
          <w:sz w:val="32"/>
          <w:szCs w:val="32"/>
          <w:highlight w:val="none"/>
        </w:rPr>
        <w:t>。</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szCs w:val="22"/>
        </w:rPr>
      </w:pPr>
      <w:r>
        <w:rPr>
          <w:rFonts w:hint="eastAsia" w:ascii="FangSong_GB2312" w:hAnsi="FangSong_GB2312" w:eastAsia="FangSong_GB2312"/>
          <w:color w:val="000000"/>
          <w:sz w:val="32"/>
          <w:szCs w:val="22"/>
        </w:rPr>
        <w:t>(十</w:t>
      </w:r>
      <w:r>
        <w:rPr>
          <w:rFonts w:hint="eastAsia" w:ascii="FangSong_GB2312" w:hAnsi="FangSong_GB2312" w:eastAsia="FangSong_GB2312"/>
          <w:color w:val="000000"/>
          <w:sz w:val="32"/>
          <w:szCs w:val="22"/>
          <w:lang w:eastAsia="zh-CN"/>
        </w:rPr>
        <w:t>四</w:t>
      </w:r>
      <w:r>
        <w:rPr>
          <w:rFonts w:hint="eastAsia" w:ascii="FangSong_GB2312" w:hAnsi="FangSong_GB2312" w:eastAsia="FangSong_GB2312"/>
          <w:color w:val="000000"/>
          <w:sz w:val="32"/>
          <w:szCs w:val="22"/>
        </w:rPr>
        <w:t>)项目支出：指在基本支出之外为完成特定行政任务或事业发展目标所发生的支出。</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bCs/>
          <w:kern w:val="44"/>
          <w:sz w:val="32"/>
          <w:szCs w:val="32"/>
          <w:highlight w:val="none"/>
        </w:rPr>
        <w:t>经营支出：指事业单位在专业活动及辅助活动之外开展非独立核算经营活动发生的支出。</w:t>
      </w:r>
    </w:p>
    <w:p>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yellow"/>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纳入</w:t>
      </w:r>
      <w:r>
        <w:rPr>
          <w:rFonts w:hint="eastAsia" w:ascii="仿宋_GB2312"/>
          <w:sz w:val="32"/>
          <w:szCs w:val="32"/>
          <w:highlight w:val="none"/>
          <w:lang w:eastAsia="zh-CN"/>
        </w:rPr>
        <w:t>省级</w:t>
      </w:r>
      <w:r>
        <w:rPr>
          <w:rFonts w:hint="eastAsia" w:ascii="仿宋_GB2312" w:eastAsia="仿宋_GB2312"/>
          <w:sz w:val="32"/>
          <w:szCs w:val="32"/>
          <w:highlight w:val="none"/>
          <w:lang w:eastAsia="zh-CN"/>
        </w:rPr>
        <w:t>财政</w:t>
      </w:r>
      <w:r>
        <w:rPr>
          <w:rFonts w:hint="eastAsia" w:ascii="仿宋_GB2312"/>
          <w:sz w:val="32"/>
          <w:szCs w:val="32"/>
          <w:highlight w:val="none"/>
          <w:lang w:eastAsia="zh-CN"/>
        </w:rPr>
        <w:t>预决算</w:t>
      </w:r>
      <w:r>
        <w:rPr>
          <w:rFonts w:hint="eastAsia" w:ascii="仿宋_GB2312" w:eastAsia="仿宋_GB2312"/>
          <w:sz w:val="32"/>
          <w:szCs w:val="32"/>
          <w:highlight w:val="none"/>
          <w:lang w:eastAsia="zh-CN"/>
        </w:rPr>
        <w:t>管理的</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指</w:t>
      </w:r>
      <w:r>
        <w:rPr>
          <w:rFonts w:hint="eastAsia" w:ascii="仿宋_GB2312"/>
          <w:sz w:val="32"/>
          <w:szCs w:val="32"/>
          <w:highlight w:val="none"/>
          <w:lang w:eastAsia="zh-CN"/>
        </w:rPr>
        <w:t>省</w:t>
      </w:r>
      <w:r>
        <w:rPr>
          <w:rFonts w:hint="eastAsia" w:ascii="仿宋_GB2312" w:eastAsia="仿宋_GB2312"/>
          <w:sz w:val="32"/>
          <w:szCs w:val="32"/>
          <w:highlight w:val="none"/>
          <w:lang w:eastAsia="zh-CN"/>
        </w:rPr>
        <w:t>直部门</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highlight w:val="none"/>
          <w:lang w:eastAsia="zh-CN"/>
        </w:rPr>
        <w:t>、牌照费</w:t>
      </w:r>
      <w:r>
        <w:rPr>
          <w:rFonts w:hint="eastAsia" w:ascii="仿宋_GB2312" w:eastAsia="仿宋_GB2312"/>
          <w:sz w:val="32"/>
          <w:szCs w:val="32"/>
          <w:highlight w:val="none"/>
        </w:rPr>
        <w:t>)及燃料费、维修费、过桥过路费、保险费、安全奖励费用等支出；公务接待费反映单位按规定开支的各类公务接待(含外宾接待)费用。</w:t>
      </w:r>
    </w:p>
    <w:p>
      <w:pPr>
        <w:pageBreakBefore w:val="0"/>
        <w:widowControl w:val="0"/>
        <w:shd w:val="clear" w:color="auto" w:fill="auto"/>
        <w:kinsoku/>
        <w:wordWrap/>
        <w:overflowPunct/>
        <w:topLinePunct w:val="0"/>
        <w:bidi w:val="0"/>
        <w:snapToGrid w:val="0"/>
        <w:spacing w:line="360" w:lineRule="auto"/>
        <w:ind w:firstLine="640" w:firstLineChars="200"/>
        <w:textAlignment w:val="auto"/>
        <w:rPr>
          <w:rFonts w:hint="eastAsia" w:ascii="仿宋_GB2312" w:eastAsia="仿宋_GB2312"/>
          <w:sz w:val="32"/>
          <w:szCs w:val="32"/>
          <w:highlight w:val="yellow"/>
          <w:lang w:eastAsia="zh-CN"/>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)机关运行经费：指为保障行政单位（</w:t>
      </w:r>
      <w:r>
        <w:rPr>
          <w:rFonts w:hint="eastAsia" w:ascii="仿宋_GB2312" w:eastAsia="仿宋_GB2312"/>
          <w:sz w:val="32"/>
          <w:szCs w:val="32"/>
          <w:highlight w:val="none"/>
          <w:lang w:eastAsia="zh-CN"/>
        </w:rPr>
        <w:t>包括</w:t>
      </w:r>
      <w:r>
        <w:rPr>
          <w:rFonts w:hint="eastAsia" w:ascii="仿宋_GB2312" w:eastAsia="仿宋_GB2312"/>
          <w:sz w:val="32"/>
          <w:szCs w:val="32"/>
          <w:highlight w:val="none"/>
        </w:rPr>
        <w:t>参照公务员法管理的事业单位）运行用于购买货物和服务的各项资金，</w:t>
      </w:r>
      <w:r>
        <w:rPr>
          <w:rFonts w:ascii="仿宋_GB2312" w:eastAsia="仿宋_GB2312"/>
          <w:sz w:val="32"/>
          <w:szCs w:val="32"/>
          <w:highlight w:val="none"/>
        </w:rPr>
        <w:t>包括办公</w:t>
      </w:r>
      <w:r>
        <w:rPr>
          <w:rFonts w:hint="eastAsia" w:ascii="仿宋_GB2312" w:eastAsia="仿宋_GB2312"/>
          <w:sz w:val="32"/>
          <w:szCs w:val="32"/>
          <w:highlight w:val="none"/>
          <w:lang w:eastAsia="zh-CN"/>
        </w:rPr>
        <w:t>费、</w:t>
      </w:r>
      <w:r>
        <w:rPr>
          <w:rFonts w:ascii="仿宋_GB2312" w:eastAsia="仿宋_GB2312"/>
          <w:sz w:val="32"/>
          <w:szCs w:val="32"/>
          <w:highlight w:val="none"/>
        </w:rPr>
        <w:t>印刷费、邮电费、差旅费、会议费、福利费、日常维修费、专用材料及一般设备购置费、办公用房水电费、</w:t>
      </w:r>
      <w:r>
        <w:rPr>
          <w:rFonts w:hint="eastAsia" w:ascii="仿宋_GB2312" w:eastAsia="仿宋_GB2312"/>
          <w:sz w:val="32"/>
          <w:szCs w:val="32"/>
          <w:highlight w:val="none"/>
        </w:rPr>
        <w:t>办公用房取暖费、</w:t>
      </w:r>
      <w:r>
        <w:rPr>
          <w:rFonts w:ascii="仿宋_GB2312" w:eastAsia="仿宋_GB2312"/>
          <w:sz w:val="32"/>
          <w:szCs w:val="32"/>
          <w:highlight w:val="none"/>
        </w:rPr>
        <w:t>办公用房物业管理费、公务用车运行维护费以及其他费用。</w:t>
      </w:r>
    </w:p>
    <w:p>
      <w:pPr>
        <w:rPr>
          <w:rFonts w:hint="eastAsia" w:ascii="宋体" w:hAnsi="宋体" w:eastAsia="宋体" w:cs="宋体"/>
          <w:sz w:val="28"/>
          <w:szCs w:val="28"/>
        </w:rPr>
      </w:pP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2A3D65DF"/>
    <w:rsid w:val="000773BD"/>
    <w:rsid w:val="00162A04"/>
    <w:rsid w:val="00174702"/>
    <w:rsid w:val="00224DAF"/>
    <w:rsid w:val="00262D3E"/>
    <w:rsid w:val="00361723"/>
    <w:rsid w:val="00361DD0"/>
    <w:rsid w:val="004D1395"/>
    <w:rsid w:val="0058329B"/>
    <w:rsid w:val="006657E8"/>
    <w:rsid w:val="007276A8"/>
    <w:rsid w:val="008664F3"/>
    <w:rsid w:val="00876EFA"/>
    <w:rsid w:val="00A77666"/>
    <w:rsid w:val="00AB7559"/>
    <w:rsid w:val="00B62438"/>
    <w:rsid w:val="00D51BEF"/>
    <w:rsid w:val="00F202A7"/>
    <w:rsid w:val="06A63996"/>
    <w:rsid w:val="0A745FBA"/>
    <w:rsid w:val="0E876CD6"/>
    <w:rsid w:val="0ECF2880"/>
    <w:rsid w:val="10331DD1"/>
    <w:rsid w:val="15663F70"/>
    <w:rsid w:val="173472A5"/>
    <w:rsid w:val="1A235E48"/>
    <w:rsid w:val="1F0654EC"/>
    <w:rsid w:val="1FAA7CD3"/>
    <w:rsid w:val="22743E71"/>
    <w:rsid w:val="27761F0D"/>
    <w:rsid w:val="28911448"/>
    <w:rsid w:val="29FA5A8C"/>
    <w:rsid w:val="2A3D65DF"/>
    <w:rsid w:val="2FCE2126"/>
    <w:rsid w:val="35582A1F"/>
    <w:rsid w:val="35C67B4F"/>
    <w:rsid w:val="3AA110FC"/>
    <w:rsid w:val="3D667DD6"/>
    <w:rsid w:val="3EB364A3"/>
    <w:rsid w:val="410B435E"/>
    <w:rsid w:val="4326091A"/>
    <w:rsid w:val="45911C4A"/>
    <w:rsid w:val="48335261"/>
    <w:rsid w:val="531B069F"/>
    <w:rsid w:val="53F97873"/>
    <w:rsid w:val="54033AF1"/>
    <w:rsid w:val="56F02FC8"/>
    <w:rsid w:val="59BB4817"/>
    <w:rsid w:val="73161986"/>
    <w:rsid w:val="762C2434"/>
    <w:rsid w:val="7645046A"/>
    <w:rsid w:val="7BD36518"/>
    <w:rsid w:val="7E96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3">
    <w:name w:val="font61"/>
    <w:basedOn w:val="8"/>
    <w:qFormat/>
    <w:uiPriority w:val="0"/>
    <w:rPr>
      <w:rFonts w:ascii="宋体" w:hAnsi="宋体" w:eastAsia="宋体" w:cs="宋体"/>
      <w:color w:val="000000"/>
      <w:sz w:val="20"/>
      <w:szCs w:val="20"/>
      <w:u w:val="none"/>
    </w:rPr>
  </w:style>
  <w:style w:type="character" w:customStyle="1" w:styleId="14">
    <w:name w:val="font21"/>
    <w:basedOn w:val="8"/>
    <w:qFormat/>
    <w:uiPriority w:val="0"/>
    <w:rPr>
      <w:rFonts w:hint="eastAsia" w:ascii="宋体" w:hAnsi="宋体" w:eastAsia="宋体" w:cs="宋体"/>
      <w:color w:val="000000"/>
      <w:sz w:val="20"/>
      <w:szCs w:val="20"/>
      <w:u w:val="none"/>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13208</Words>
  <Characters>14447</Characters>
  <Lines>54</Lines>
  <Paragraphs>15</Paragraphs>
  <TotalTime>13</TotalTime>
  <ScaleCrop>false</ScaleCrop>
  <LinksUpToDate>false</LinksUpToDate>
  <CharactersWithSpaces>14720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2023-05-13T05:40:00Z</dcterms:created>
  <dc:creator>Administrator</dc:creator>
  <cp:lastModifiedBy>墨墨</cp:lastModifiedBy>
  <dcterms:modified xsi:type="dcterms:W3CDTF">2023-09-15T01:41:01Z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934FF4C4EC12491082B45EB46CA6571A_11</vt:lpwstr>
  </property>
</Properties>
</file>