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BD1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年决算公开</w:t>
      </w:r>
    </w:p>
    <w:p w14:paraId="137014C1">
      <w:pPr>
        <w:jc w:val="center"/>
        <w:rPr>
          <w:rFonts w:hint="eastAsia" w:eastAsia="仿宋_GB2312"/>
          <w:color w:val="auto"/>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目录</w:t>
      </w:r>
    </w:p>
    <w:p w14:paraId="7F1421F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t>第一部分:部门基本情况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 一、部门主要职责</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 二、部门机构设置情况</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Style w:val="7"/>
          <w:rFonts w:hint="eastAsia" w:ascii="仿宋_GB2312" w:hAnsi="仿宋_GB2312" w:eastAsia="仿宋_GB2312" w:cs="仿宋_GB2312"/>
          <w:i w:val="0"/>
          <w:iCs w:val="0"/>
          <w:caps w:val="0"/>
          <w:color w:val="222222"/>
          <w:spacing w:val="0"/>
          <w:kern w:val="0"/>
          <w:sz w:val="32"/>
          <w:szCs w:val="32"/>
          <w:lang w:val="en-US" w:eastAsia="zh-CN" w:bidi="ar"/>
        </w:rPr>
        <w:t>第二部分: 部门2021年部门决算表</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一、收入支出决算总表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二、收入决算表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三、支出决算表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四、财政拨款收入支出决算总表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五、一般公共预算财政拨款支出决算表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六、一般公共预算财政拨款基本支出决算表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七、一般公共预算财政拨款“三公”经费支出决算表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八、政府性基金预算财政拨款收入支出决算表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九、国有资本经营预算财政拨款支出决算表</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Style w:val="7"/>
          <w:rFonts w:hint="eastAsia" w:ascii="仿宋_GB2312" w:hAnsi="仿宋_GB2312" w:eastAsia="仿宋_GB2312" w:cs="仿宋_GB2312"/>
          <w:i w:val="0"/>
          <w:iCs w:val="0"/>
          <w:caps w:val="0"/>
          <w:color w:val="222222"/>
          <w:spacing w:val="0"/>
          <w:kern w:val="0"/>
          <w:sz w:val="32"/>
          <w:szCs w:val="32"/>
          <w:lang w:val="en-US" w:eastAsia="zh-CN" w:bidi="ar"/>
        </w:rPr>
        <w:t>第三部分：部门2021年部门决算情况说明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Style w:val="7"/>
          <w:rFonts w:hint="eastAsia" w:ascii="仿宋_GB2312" w:hAnsi="仿宋_GB2312" w:eastAsia="仿宋_GB2312" w:cs="仿宋_GB2312"/>
          <w:i w:val="0"/>
          <w:iCs w:val="0"/>
          <w:caps w:val="0"/>
          <w:color w:val="222222"/>
          <w:spacing w:val="0"/>
          <w:kern w:val="0"/>
          <w:sz w:val="32"/>
          <w:szCs w:val="32"/>
          <w:lang w:val="en-US" w:eastAsia="zh-CN" w:bidi="ar"/>
        </w:rPr>
        <w:t>一、</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收支总体情况说明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二、决算收入支出增减变化情况说明</w:t>
      </w:r>
      <w:r>
        <w:rPr>
          <w:rFonts w:hint="eastAsia" w:ascii="仿宋_GB2312" w:hAnsi="仿宋_GB2312" w:eastAsia="仿宋_GB2312" w:cs="仿宋_GB2312"/>
          <w:i w:val="0"/>
          <w:iCs w:val="0"/>
          <w:caps w:val="0"/>
          <w:color w:val="222222"/>
          <w:spacing w:val="0"/>
          <w:kern w:val="0"/>
          <w:sz w:val="32"/>
          <w:szCs w:val="32"/>
          <w:highlight w:val="red"/>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三、财政拨款收入支出决算情况说明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四、一般公共预算财政拨款支出决算情况说明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lang w:val="en-US" w:eastAsia="zh-CN" w:bidi="ar"/>
        </w:rPr>
        <w:t>五</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、一般公共预算财政拨款基本支出决算情况说明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六、一般公共预算财政拨款“三公”经费支出决算情况说明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七、机关运行费执行情况说明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lang w:val="en-US" w:eastAsia="zh-CN" w:bidi="ar"/>
        </w:rPr>
        <w:t>八</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、政府采购支出情况说明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九、国有资产占用情况说明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十、其他情况</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十一、预算绩效情况说明</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Style w:val="7"/>
          <w:rFonts w:hint="eastAsia" w:ascii="仿宋_GB2312" w:hAnsi="仿宋_GB2312" w:eastAsia="仿宋_GB2312" w:cs="仿宋_GB2312"/>
          <w:i w:val="0"/>
          <w:iCs w:val="0"/>
          <w:caps w:val="0"/>
          <w:color w:val="222222"/>
          <w:spacing w:val="0"/>
          <w:kern w:val="0"/>
          <w:sz w:val="32"/>
          <w:szCs w:val="32"/>
          <w:lang w:val="en-US" w:eastAsia="zh-CN" w:bidi="ar"/>
        </w:rPr>
        <w:t>第四部分、名词解释</w:t>
      </w:r>
    </w:p>
    <w:p w14:paraId="3C70F511">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t>黄石市下陆区财政局2021年度部门决算及“三公”经费</w:t>
      </w:r>
    </w:p>
    <w:p w14:paraId="4822890E">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_GB2312" w:hAnsi="仿宋_GB2312" w:eastAsia="仿宋_GB2312" w:cs="仿宋_GB2312"/>
          <w:i w:val="0"/>
          <w:iCs w:val="0"/>
          <w:caps w:val="0"/>
          <w:color w:val="222222"/>
          <w:spacing w:val="0"/>
          <w:sz w:val="32"/>
          <w:szCs w:val="32"/>
        </w:rPr>
      </w:pPr>
      <w:r>
        <w:rPr>
          <w:rStyle w:val="7"/>
          <w:rFonts w:hint="eastAsia" w:ascii="仿宋_GB2312" w:hAnsi="仿宋_GB2312" w:eastAsia="仿宋_GB2312" w:cs="仿宋_GB2312"/>
          <w:i w:val="0"/>
          <w:iCs w:val="0"/>
          <w:caps w:val="0"/>
          <w:color w:val="222222"/>
          <w:spacing w:val="0"/>
          <w:kern w:val="0"/>
          <w:sz w:val="32"/>
          <w:szCs w:val="32"/>
          <w:lang w:val="en-US" w:eastAsia="zh-CN" w:bidi="ar"/>
        </w:rPr>
        <w:t>决算情况说明</w:t>
      </w:r>
    </w:p>
    <w:p w14:paraId="0CF36F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Style w:val="7"/>
          <w:rFonts w:hint="eastAsia" w:ascii="仿宋_GB2312" w:hAnsi="仿宋_GB2312" w:eastAsia="仿宋_GB2312" w:cs="仿宋_GB2312"/>
          <w:i w:val="0"/>
          <w:iCs w:val="0"/>
          <w:caps w:val="0"/>
          <w:color w:val="222222"/>
          <w:spacing w:val="0"/>
          <w:kern w:val="0"/>
          <w:sz w:val="32"/>
          <w:szCs w:val="32"/>
          <w:lang w:val="en-US" w:eastAsia="zh-CN" w:bidi="ar"/>
        </w:rPr>
        <w:t>第一部分:部门基本情况 </w:t>
      </w:r>
      <w:r>
        <w:rPr>
          <w:rFonts w:hint="eastAsia" w:ascii="仿宋_GB2312" w:hAnsi="仿宋_GB2312" w:eastAsia="仿宋_GB2312" w:cs="仿宋_GB2312"/>
          <w:i w:val="0"/>
          <w:iCs w:val="0"/>
          <w:caps w:val="0"/>
          <w:color w:val="222222"/>
          <w:spacing w:val="0"/>
          <w:kern w:val="0"/>
          <w:sz w:val="32"/>
          <w:szCs w:val="32"/>
          <w:lang w:val="en-US" w:eastAsia="zh-CN" w:bidi="ar"/>
        </w:rPr>
        <w:br w:type="textWrapping"/>
      </w:r>
      <w:r>
        <w:rPr>
          <w:rStyle w:val="7"/>
          <w:rFonts w:hint="eastAsia" w:ascii="仿宋_GB2312" w:hAnsi="仿宋_GB2312" w:eastAsia="仿宋_GB2312" w:cs="仿宋_GB2312"/>
          <w:i w:val="0"/>
          <w:iCs w:val="0"/>
          <w:caps w:val="0"/>
          <w:color w:val="222222"/>
          <w:spacing w:val="0"/>
          <w:kern w:val="0"/>
          <w:sz w:val="32"/>
          <w:szCs w:val="32"/>
          <w:lang w:val="en-US" w:eastAsia="zh-CN" w:bidi="ar"/>
        </w:rPr>
        <w:t>一、部门主要职责</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1、拟订和执行全区财政、税收的发展战略、中长期规划及改革方案;参与制定有关综合经济政策;提出运用财税政策实施区级调控和综合平衡社会财力的建议。</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2、拟订和执行全区财政、财务、会计管理制度并指导执行。</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承担区级各项财政收支管理的责任。负责编制年度区级预决算草案并组织执行;受区人民政府委托，向区人民代表大会报告区级预算及其执行情况，向区人大常委会报告区级调整预算和区级决算;组织制定经费开支标准、定额，负责审核批复区直部门(单位)的年度预决算。完善转移支付制度。</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4、建立健全财政资金绩效管理政策、制度和实施办法，完善财政资金绩效管理机制和预算绩效评价体系，组织实施财政支出绩效评价，指导区级预算单位开展绩效管理工作，强化预算绩效评价结果运用。</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5、负责政府非税收入管理，负责政府性基金管理，按规定管理行政事业性收费;加强财政票据管理。</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6、组织制定国库管理制度、国库集中收付制度，按规定开展国库现金管理工作；负责制定并监督执行全区政府采购制度；负责制定全区财政信息化建设管理制度和技术标准，指导全区财政信息化建设工作。</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7、负责办理区级财政的经济发展支出、区级政府性投资项目的财政拨款，参与拟订区级建设投资的有关政策，制定基本建设财务制度，负责有关政策性补贴和专项资金财政管理工作。负责管理区级财政的各项支出。</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8、参与全区社会保障制度的改革和政策及有关规范性文件的研究制定;分配和管理区级社会保障资金;负责区级社会保障资金财政专户的管理。</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9、拟订和执行地方政府债务管理的制度和政策，依法制定地方政府债务管理制度和办法，防范财政风险。负责统一管理政府外债，制定和执行基本管理制度。</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10、负责管理全区的会计工作，规范会计行为，执行国家会计法律、法规、会计准则和会计制度；负责辖区内会计代理记帐机构资格认定审批。</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11、负责国有资产的清产核资、产权界定、处理产权纠纷、进行产权登记、资产汇总报表等基础性管理工作，建立健全国有资产管理信息系统。</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12、会同有关部门研究制订行政事业单位国有资产管理的制度和方法，参与处理重大产权纠纷。</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13、完成上级交办的其他任务。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Style w:val="7"/>
          <w:rFonts w:hint="eastAsia" w:ascii="仿宋_GB2312" w:hAnsi="仿宋_GB2312" w:eastAsia="仿宋_GB2312" w:cs="仿宋_GB2312"/>
          <w:i w:val="0"/>
          <w:iCs w:val="0"/>
          <w:caps w:val="0"/>
          <w:color w:val="000000"/>
          <w:spacing w:val="0"/>
          <w:kern w:val="0"/>
          <w:sz w:val="32"/>
          <w:szCs w:val="32"/>
          <w:shd w:val="clear" w:fill="FFFFFF"/>
          <w:lang w:val="en-US" w:eastAsia="zh-CN" w:bidi="ar"/>
        </w:rPr>
        <w:t>二、机构设置</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1、机构设置情况：下陆区财政局下设国库集中收付中心1个公益一类事业单位，内设预算国库科、党政办公室、财政监督科、非税收入科、债务管理科等科室，与国资局合署办公。</w:t>
      </w:r>
    </w:p>
    <w:p w14:paraId="6DBA6B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2、编制情况：下陆区财政局核定编制数为 11名，其中行政编制 5 名，事业编制 6名。2021年年末在职在编人员8 人，区聘2人，退伍安置0人，退休人员 8人（已全部转入机关事业单位养老保险发放养老金）。</w:t>
      </w:r>
    </w:p>
    <w:p w14:paraId="362B3D9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t>第二部分: 部门2021年部门决算表</w:t>
      </w:r>
    </w:p>
    <w:p w14:paraId="43C3DA5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69865" cy="4615180"/>
            <wp:effectExtent l="0" t="0" r="3175" b="25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5269865" cy="4615180"/>
                    </a:xfrm>
                    <a:prstGeom prst="rect">
                      <a:avLst/>
                    </a:prstGeom>
                  </pic:spPr>
                </pic:pic>
              </a:graphicData>
            </a:graphic>
          </wp:inline>
        </w:drawing>
      </w:r>
    </w:p>
    <w:p w14:paraId="5940F48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65420" cy="1605280"/>
            <wp:effectExtent l="0" t="0" r="7620" b="1016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5265420" cy="1605280"/>
                    </a:xfrm>
                    <a:prstGeom prst="rect">
                      <a:avLst/>
                    </a:prstGeom>
                  </pic:spPr>
                </pic:pic>
              </a:graphicData>
            </a:graphic>
          </wp:inline>
        </w:drawing>
      </w:r>
    </w:p>
    <w:p w14:paraId="654DDCF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67960" cy="1887855"/>
            <wp:effectExtent l="0" t="0" r="5080" b="190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7"/>
                    <a:stretch>
                      <a:fillRect/>
                    </a:stretch>
                  </pic:blipFill>
                  <pic:spPr>
                    <a:xfrm>
                      <a:off x="0" y="0"/>
                      <a:ext cx="5267960" cy="1887855"/>
                    </a:xfrm>
                    <a:prstGeom prst="rect">
                      <a:avLst/>
                    </a:prstGeom>
                  </pic:spPr>
                </pic:pic>
              </a:graphicData>
            </a:graphic>
          </wp:inline>
        </w:drawing>
      </w:r>
    </w:p>
    <w:p w14:paraId="6BD53C4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66055" cy="3814445"/>
            <wp:effectExtent l="0" t="0" r="6985" b="10795"/>
            <wp:docPr id="10" name="图片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
                    <pic:cNvPicPr>
                      <a:picLocks noChangeAspect="1"/>
                    </pic:cNvPicPr>
                  </pic:nvPicPr>
                  <pic:blipFill>
                    <a:blip r:embed="rId8"/>
                    <a:stretch>
                      <a:fillRect/>
                    </a:stretch>
                  </pic:blipFill>
                  <pic:spPr>
                    <a:xfrm>
                      <a:off x="0" y="0"/>
                      <a:ext cx="5266055" cy="3814445"/>
                    </a:xfrm>
                    <a:prstGeom prst="rect">
                      <a:avLst/>
                    </a:prstGeom>
                  </pic:spPr>
                </pic:pic>
              </a:graphicData>
            </a:graphic>
          </wp:inline>
        </w:drawing>
      </w:r>
    </w:p>
    <w:p w14:paraId="2D25E09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72405" cy="2423795"/>
            <wp:effectExtent l="0" t="0" r="635" b="14605"/>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9"/>
                    <a:stretch>
                      <a:fillRect/>
                    </a:stretch>
                  </pic:blipFill>
                  <pic:spPr>
                    <a:xfrm>
                      <a:off x="0" y="0"/>
                      <a:ext cx="5272405" cy="2423795"/>
                    </a:xfrm>
                    <a:prstGeom prst="rect">
                      <a:avLst/>
                    </a:prstGeom>
                  </pic:spPr>
                </pic:pic>
              </a:graphicData>
            </a:graphic>
          </wp:inline>
        </w:drawing>
      </w:r>
    </w:p>
    <w:p w14:paraId="23426E1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63515" cy="3277235"/>
            <wp:effectExtent l="0" t="0" r="9525" b="14605"/>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10"/>
                    <a:stretch>
                      <a:fillRect/>
                    </a:stretch>
                  </pic:blipFill>
                  <pic:spPr>
                    <a:xfrm>
                      <a:off x="0" y="0"/>
                      <a:ext cx="5263515" cy="3277235"/>
                    </a:xfrm>
                    <a:prstGeom prst="rect">
                      <a:avLst/>
                    </a:prstGeom>
                  </pic:spPr>
                </pic:pic>
              </a:graphicData>
            </a:graphic>
          </wp:inline>
        </w:drawing>
      </w:r>
    </w:p>
    <w:p w14:paraId="68C4D7B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70500" cy="1022985"/>
            <wp:effectExtent l="0" t="0" r="2540" b="13335"/>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pic:cNvPicPr>
                  </pic:nvPicPr>
                  <pic:blipFill>
                    <a:blip r:embed="rId11"/>
                    <a:stretch>
                      <a:fillRect/>
                    </a:stretch>
                  </pic:blipFill>
                  <pic:spPr>
                    <a:xfrm>
                      <a:off x="0" y="0"/>
                      <a:ext cx="5270500" cy="1022985"/>
                    </a:xfrm>
                    <a:prstGeom prst="rect">
                      <a:avLst/>
                    </a:prstGeom>
                  </pic:spPr>
                </pic:pic>
              </a:graphicData>
            </a:graphic>
          </wp:inline>
        </w:drawing>
      </w:r>
    </w:p>
    <w:p w14:paraId="5957BAF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67960" cy="1156335"/>
            <wp:effectExtent l="0" t="0" r="5080" b="1905"/>
            <wp:docPr id="8" name="图片 8" descr="新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新8"/>
                    <pic:cNvPicPr>
                      <a:picLocks noChangeAspect="1"/>
                    </pic:cNvPicPr>
                  </pic:nvPicPr>
                  <pic:blipFill>
                    <a:blip r:embed="rId12"/>
                    <a:stretch>
                      <a:fillRect/>
                    </a:stretch>
                  </pic:blipFill>
                  <pic:spPr>
                    <a:xfrm>
                      <a:off x="0" y="0"/>
                      <a:ext cx="5267960" cy="1156335"/>
                    </a:xfrm>
                    <a:prstGeom prst="rect">
                      <a:avLst/>
                    </a:prstGeom>
                  </pic:spPr>
                </pic:pic>
              </a:graphicData>
            </a:graphic>
          </wp:inline>
        </w:drawing>
      </w:r>
    </w:p>
    <w:p w14:paraId="4944BBD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r>
        <w:rPr>
          <w:rStyle w:val="7"/>
          <w:rFonts w:hint="eastAsia" w:ascii="仿宋_GB2312" w:hAnsi="仿宋_GB2312" w:eastAsia="仿宋_GB2312" w:cs="仿宋_GB2312"/>
          <w:i w:val="0"/>
          <w:iCs w:val="0"/>
          <w:caps w:val="0"/>
          <w:color w:val="222222"/>
          <w:spacing w:val="0"/>
          <w:kern w:val="0"/>
          <w:sz w:val="32"/>
          <w:szCs w:val="32"/>
          <w:lang w:val="en-US" w:eastAsia="zh-CN" w:bidi="ar"/>
        </w:rPr>
        <w:drawing>
          <wp:inline distT="0" distB="0" distL="114300" distR="114300">
            <wp:extent cx="5269865" cy="1922780"/>
            <wp:effectExtent l="0" t="0" r="3175" b="12700"/>
            <wp:docPr id="9" name="图片 9" descr="新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新9"/>
                    <pic:cNvPicPr>
                      <a:picLocks noChangeAspect="1"/>
                    </pic:cNvPicPr>
                  </pic:nvPicPr>
                  <pic:blipFill>
                    <a:blip r:embed="rId13"/>
                    <a:stretch>
                      <a:fillRect/>
                    </a:stretch>
                  </pic:blipFill>
                  <pic:spPr>
                    <a:xfrm>
                      <a:off x="0" y="0"/>
                      <a:ext cx="5269865" cy="1922780"/>
                    </a:xfrm>
                    <a:prstGeom prst="rect">
                      <a:avLst/>
                    </a:prstGeom>
                  </pic:spPr>
                </pic:pic>
              </a:graphicData>
            </a:graphic>
          </wp:inline>
        </w:drawing>
      </w:r>
    </w:p>
    <w:p w14:paraId="7984DF4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eastAsia" w:ascii="仿宋_GB2312" w:hAnsi="仿宋_GB2312" w:eastAsia="仿宋_GB2312" w:cs="仿宋_GB2312"/>
          <w:i w:val="0"/>
          <w:iCs w:val="0"/>
          <w:caps w:val="0"/>
          <w:color w:val="222222"/>
          <w:spacing w:val="0"/>
          <w:kern w:val="0"/>
          <w:sz w:val="32"/>
          <w:szCs w:val="32"/>
          <w:lang w:val="en-US" w:eastAsia="zh-CN" w:bidi="ar"/>
        </w:rPr>
      </w:pPr>
    </w:p>
    <w:p w14:paraId="044DDEB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i w:val="0"/>
          <w:iCs w:val="0"/>
          <w:caps w:val="0"/>
          <w:color w:val="222222"/>
          <w:spacing w:val="0"/>
          <w:sz w:val="32"/>
          <w:szCs w:val="32"/>
        </w:rPr>
      </w:pPr>
      <w:r>
        <w:rPr>
          <w:rStyle w:val="7"/>
          <w:rFonts w:hint="eastAsia" w:ascii="仿宋_GB2312" w:hAnsi="仿宋_GB2312" w:eastAsia="仿宋_GB2312" w:cs="仿宋_GB2312"/>
          <w:i w:val="0"/>
          <w:iCs w:val="0"/>
          <w:caps w:val="0"/>
          <w:color w:val="222222"/>
          <w:spacing w:val="0"/>
          <w:kern w:val="0"/>
          <w:sz w:val="32"/>
          <w:szCs w:val="32"/>
          <w:lang w:val="en-US" w:eastAsia="zh-CN" w:bidi="ar"/>
        </w:rPr>
        <w:t>第三部分：部门2021年部门决算情况说明</w:t>
      </w:r>
    </w:p>
    <w:p w14:paraId="5A3E7204">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Chars="0" w:right="0" w:rightChars="0"/>
        <w:jc w:val="both"/>
        <w:textAlignment w:val="auto"/>
        <w:rPr>
          <w:rStyle w:val="7"/>
          <w:rFonts w:hint="eastAsia" w:ascii="仿宋_GB2312" w:hAnsi="仿宋_GB2312" w:eastAsia="仿宋_GB2312" w:cs="仿宋_GB2312"/>
          <w:b/>
          <w:bCs w:val="0"/>
          <w:i w:val="0"/>
          <w:iCs w:val="0"/>
          <w:caps w:val="0"/>
          <w:color w:val="222222"/>
          <w:spacing w:val="0"/>
          <w:sz w:val="32"/>
          <w:szCs w:val="32"/>
        </w:rPr>
      </w:pPr>
      <w:r>
        <w:rPr>
          <w:rStyle w:val="7"/>
          <w:rFonts w:hint="eastAsia" w:ascii="仿宋_GB2312" w:hAnsi="仿宋_GB2312" w:eastAsia="仿宋_GB2312" w:cs="仿宋_GB2312"/>
          <w:b/>
          <w:bCs w:val="0"/>
          <w:i w:val="0"/>
          <w:iCs w:val="0"/>
          <w:caps w:val="0"/>
          <w:color w:val="222222"/>
          <w:spacing w:val="0"/>
          <w:sz w:val="32"/>
          <w:szCs w:val="32"/>
        </w:rPr>
        <w:t>收支总体情况说明</w:t>
      </w:r>
    </w:p>
    <w:p w14:paraId="36385E1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年度决算总收入合计</w:t>
      </w:r>
      <w:r>
        <w:rPr>
          <w:rFonts w:hint="eastAsia" w:ascii="仿宋_GB2312" w:hAnsi="仿宋_GB2312" w:eastAsia="仿宋_GB2312" w:cs="仿宋_GB2312"/>
          <w:i w:val="0"/>
          <w:iCs w:val="0"/>
          <w:caps w:val="0"/>
          <w:color w:val="auto"/>
          <w:spacing w:val="0"/>
          <w:sz w:val="32"/>
          <w:szCs w:val="32"/>
          <w:shd w:val="clear" w:fill="FFFFFF"/>
          <w:lang w:val="en-US" w:eastAsia="zh-CN"/>
        </w:rPr>
        <w:t>475.67</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222222"/>
          <w:spacing w:val="0"/>
          <w:sz w:val="32"/>
          <w:szCs w:val="32"/>
          <w:shd w:val="clear" w:fill="FFFFFF"/>
        </w:rPr>
        <w:t>其中：财政拨款收入</w:t>
      </w:r>
      <w:r>
        <w:rPr>
          <w:rFonts w:hint="eastAsia" w:ascii="仿宋_GB2312" w:hAnsi="仿宋_GB2312" w:eastAsia="仿宋_GB2312" w:cs="仿宋_GB2312"/>
          <w:i w:val="0"/>
          <w:iCs w:val="0"/>
          <w:caps w:val="0"/>
          <w:color w:val="222222"/>
          <w:spacing w:val="0"/>
          <w:sz w:val="32"/>
          <w:szCs w:val="32"/>
          <w:shd w:val="clear" w:fill="FFFFFF"/>
          <w:lang w:val="en-US" w:eastAsia="zh-CN"/>
        </w:rPr>
        <w:t>475.67</w:t>
      </w:r>
      <w:r>
        <w:rPr>
          <w:rFonts w:hint="eastAsia" w:ascii="仿宋_GB2312" w:hAnsi="仿宋_GB2312" w:eastAsia="仿宋_GB2312" w:cs="仿宋_GB2312"/>
          <w:i w:val="0"/>
          <w:iCs w:val="0"/>
          <w:caps w:val="0"/>
          <w:color w:val="222222"/>
          <w:spacing w:val="0"/>
          <w:sz w:val="32"/>
          <w:szCs w:val="32"/>
          <w:shd w:val="clear" w:fill="FFFFFF"/>
        </w:rPr>
        <w:t>万元，占总收入的</w:t>
      </w:r>
      <w:r>
        <w:rPr>
          <w:rFonts w:hint="eastAsia" w:ascii="仿宋_GB2312" w:hAnsi="仿宋_GB2312" w:eastAsia="仿宋_GB2312" w:cs="仿宋_GB2312"/>
          <w:i w:val="0"/>
          <w:iCs w:val="0"/>
          <w:caps w:val="0"/>
          <w:color w:val="222222"/>
          <w:spacing w:val="0"/>
          <w:sz w:val="32"/>
          <w:szCs w:val="32"/>
          <w:shd w:val="clear" w:fill="FFFFFF"/>
          <w:lang w:val="en-US" w:eastAsia="zh-CN"/>
        </w:rPr>
        <w:t>100</w:t>
      </w:r>
      <w:r>
        <w:rPr>
          <w:rFonts w:hint="eastAsia" w:ascii="仿宋_GB2312" w:hAnsi="仿宋_GB2312" w:eastAsia="仿宋_GB2312" w:cs="仿宋_GB2312"/>
          <w:i w:val="0"/>
          <w:iCs w:val="0"/>
          <w:caps w:val="0"/>
          <w:color w:val="222222"/>
          <w:spacing w:val="0"/>
          <w:sz w:val="32"/>
          <w:szCs w:val="32"/>
          <w:shd w:val="clear" w:fill="FFFFFF"/>
        </w:rPr>
        <w:t>%。</w:t>
      </w:r>
    </w:p>
    <w:p w14:paraId="1B0669B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年度决算总</w:t>
      </w:r>
      <w:r>
        <w:rPr>
          <w:rFonts w:hint="eastAsia" w:ascii="仿宋_GB2312" w:hAnsi="仿宋_GB2312" w:eastAsia="仿宋_GB2312" w:cs="仿宋_GB2312"/>
          <w:i w:val="0"/>
          <w:iCs w:val="0"/>
          <w:caps w:val="0"/>
          <w:color w:val="auto"/>
          <w:spacing w:val="0"/>
          <w:sz w:val="32"/>
          <w:szCs w:val="32"/>
          <w:shd w:val="clear" w:fill="FFFFFF"/>
          <w:lang w:val="en-US" w:eastAsia="zh-CN"/>
        </w:rPr>
        <w:t>支出511.52</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其中：基本支出</w:t>
      </w:r>
      <w:r>
        <w:rPr>
          <w:rFonts w:hint="eastAsia" w:ascii="仿宋_GB2312" w:hAnsi="仿宋_GB2312" w:eastAsia="仿宋_GB2312" w:cs="仿宋_GB2312"/>
          <w:i w:val="0"/>
          <w:iCs w:val="0"/>
          <w:caps w:val="0"/>
          <w:color w:val="auto"/>
          <w:spacing w:val="0"/>
          <w:sz w:val="32"/>
          <w:szCs w:val="32"/>
          <w:shd w:val="clear" w:fill="FFFFFF"/>
          <w:lang w:val="en-US" w:eastAsia="zh-CN"/>
        </w:rPr>
        <w:t>358.4</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占总支出70.07%。</w:t>
      </w:r>
      <w:r>
        <w:rPr>
          <w:rFonts w:hint="eastAsia" w:ascii="仿宋_GB2312" w:hAnsi="仿宋_GB2312" w:eastAsia="仿宋_GB2312" w:cs="仿宋_GB2312"/>
          <w:i w:val="0"/>
          <w:iCs w:val="0"/>
          <w:caps w:val="0"/>
          <w:color w:val="auto"/>
          <w:spacing w:val="0"/>
          <w:sz w:val="32"/>
          <w:szCs w:val="32"/>
          <w:shd w:val="clear" w:fill="FFFFFF"/>
        </w:rPr>
        <w:t>项目支出</w:t>
      </w:r>
      <w:r>
        <w:rPr>
          <w:rFonts w:hint="eastAsia" w:ascii="仿宋_GB2312" w:hAnsi="仿宋_GB2312" w:eastAsia="仿宋_GB2312" w:cs="仿宋_GB2312"/>
          <w:i w:val="0"/>
          <w:iCs w:val="0"/>
          <w:caps w:val="0"/>
          <w:color w:val="auto"/>
          <w:spacing w:val="0"/>
          <w:sz w:val="32"/>
          <w:szCs w:val="32"/>
          <w:shd w:val="clear" w:fill="FFFFFF"/>
          <w:lang w:val="en-US" w:eastAsia="zh-CN"/>
        </w:rPr>
        <w:t>153.13万</w:t>
      </w:r>
      <w:r>
        <w:rPr>
          <w:rFonts w:hint="eastAsia" w:ascii="仿宋_GB2312" w:hAnsi="仿宋_GB2312" w:eastAsia="仿宋_GB2312" w:cs="仿宋_GB2312"/>
          <w:i w:val="0"/>
          <w:iCs w:val="0"/>
          <w:caps w:val="0"/>
          <w:color w:val="auto"/>
          <w:spacing w:val="0"/>
          <w:sz w:val="32"/>
          <w:szCs w:val="32"/>
          <w:shd w:val="clear" w:fill="FFFFFF"/>
        </w:rPr>
        <w:t>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占总支出29.93%</w:t>
      </w:r>
      <w:r>
        <w:rPr>
          <w:rFonts w:hint="eastAsia" w:ascii="仿宋_GB2312" w:hAnsi="仿宋_GB2312" w:eastAsia="仿宋_GB2312" w:cs="仿宋_GB2312"/>
          <w:i w:val="0"/>
          <w:iCs w:val="0"/>
          <w:caps w:val="0"/>
          <w:color w:val="auto"/>
          <w:spacing w:val="0"/>
          <w:sz w:val="32"/>
          <w:szCs w:val="32"/>
          <w:shd w:val="clear" w:fill="FFFFFF"/>
        </w:rPr>
        <w:t>。</w:t>
      </w:r>
    </w:p>
    <w:p w14:paraId="6A82F7F1">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决算收入支出增减变化情况说明</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年度决算总收入合计</w:t>
      </w:r>
      <w:r>
        <w:rPr>
          <w:rFonts w:hint="eastAsia" w:ascii="仿宋_GB2312" w:hAnsi="仿宋_GB2312" w:eastAsia="仿宋_GB2312" w:cs="仿宋_GB2312"/>
          <w:i w:val="0"/>
          <w:iCs w:val="0"/>
          <w:caps w:val="0"/>
          <w:color w:val="auto"/>
          <w:spacing w:val="0"/>
          <w:sz w:val="32"/>
          <w:szCs w:val="32"/>
          <w:shd w:val="clear" w:fill="FFFFFF"/>
          <w:lang w:val="en-US" w:eastAsia="zh-CN"/>
        </w:rPr>
        <w:t>475.67</w:t>
      </w:r>
      <w:r>
        <w:rPr>
          <w:rFonts w:hint="eastAsia" w:ascii="仿宋_GB2312" w:hAnsi="仿宋_GB2312" w:eastAsia="仿宋_GB2312" w:cs="仿宋_GB2312"/>
          <w:i w:val="0"/>
          <w:iCs w:val="0"/>
          <w:caps w:val="0"/>
          <w:color w:val="auto"/>
          <w:spacing w:val="0"/>
          <w:sz w:val="32"/>
          <w:szCs w:val="32"/>
          <w:shd w:val="clear" w:fill="FFFFFF"/>
        </w:rPr>
        <w:t>万元，较20</w:t>
      </w:r>
      <w:r>
        <w:rPr>
          <w:rFonts w:hint="eastAsia" w:ascii="仿宋_GB2312" w:hAnsi="仿宋_GB2312" w:eastAsia="仿宋_GB2312" w:cs="仿宋_GB2312"/>
          <w:i w:val="0"/>
          <w:iCs w:val="0"/>
          <w:caps w:val="0"/>
          <w:color w:val="auto"/>
          <w:spacing w:val="0"/>
          <w:sz w:val="32"/>
          <w:szCs w:val="32"/>
          <w:shd w:val="clear" w:fill="FFFFFF"/>
          <w:lang w:val="en-US" w:eastAsia="zh-CN"/>
        </w:rPr>
        <w:t>20</w:t>
      </w:r>
      <w:r>
        <w:rPr>
          <w:rFonts w:hint="eastAsia" w:ascii="仿宋_GB2312" w:hAnsi="仿宋_GB2312" w:eastAsia="仿宋_GB2312" w:cs="仿宋_GB2312"/>
          <w:i w:val="0"/>
          <w:iCs w:val="0"/>
          <w:caps w:val="0"/>
          <w:color w:val="auto"/>
          <w:spacing w:val="0"/>
          <w:sz w:val="32"/>
          <w:szCs w:val="32"/>
          <w:shd w:val="clear" w:fill="FFFFFF"/>
        </w:rPr>
        <w:t>年度决算总收入451.13万元</w:t>
      </w:r>
      <w:r>
        <w:rPr>
          <w:rFonts w:hint="eastAsia" w:ascii="仿宋_GB2312" w:hAnsi="仿宋_GB2312" w:eastAsia="仿宋_GB2312" w:cs="仿宋_GB2312"/>
          <w:i w:val="0"/>
          <w:iCs w:val="0"/>
          <w:caps w:val="0"/>
          <w:color w:val="auto"/>
          <w:spacing w:val="0"/>
          <w:sz w:val="32"/>
          <w:szCs w:val="32"/>
          <w:shd w:val="clear" w:fill="FFFFFF"/>
          <w:lang w:val="en-US" w:eastAsia="zh-CN"/>
        </w:rPr>
        <w:t>增加</w:t>
      </w:r>
      <w:r>
        <w:rPr>
          <w:rFonts w:hint="eastAsia" w:ascii="仿宋_GB2312" w:hAnsi="仿宋_GB2312" w:eastAsia="仿宋_GB2312" w:cs="仿宋_GB2312"/>
          <w:i w:val="0"/>
          <w:iCs w:val="0"/>
          <w:caps w:val="0"/>
          <w:color w:val="auto"/>
          <w:spacing w:val="0"/>
          <w:sz w:val="32"/>
          <w:szCs w:val="32"/>
          <w:shd w:val="clear" w:fill="FFFFFF"/>
        </w:rPr>
        <w:t>了</w:t>
      </w:r>
      <w:r>
        <w:rPr>
          <w:rFonts w:hint="eastAsia" w:ascii="仿宋_GB2312" w:hAnsi="仿宋_GB2312" w:eastAsia="仿宋_GB2312" w:cs="仿宋_GB2312"/>
          <w:i w:val="0"/>
          <w:iCs w:val="0"/>
          <w:caps w:val="0"/>
          <w:color w:val="auto"/>
          <w:spacing w:val="0"/>
          <w:sz w:val="32"/>
          <w:szCs w:val="32"/>
          <w:shd w:val="clear" w:fill="FFFFFF"/>
          <w:lang w:val="en-US" w:eastAsia="zh-CN"/>
        </w:rPr>
        <w:t>24.54</w:t>
      </w:r>
      <w:r>
        <w:rPr>
          <w:rFonts w:hint="eastAsia" w:ascii="仿宋_GB2312" w:hAnsi="仿宋_GB2312" w:eastAsia="仿宋_GB2312" w:cs="仿宋_GB2312"/>
          <w:i w:val="0"/>
          <w:iCs w:val="0"/>
          <w:caps w:val="0"/>
          <w:color w:val="auto"/>
          <w:spacing w:val="0"/>
          <w:sz w:val="32"/>
          <w:szCs w:val="32"/>
          <w:shd w:val="clear" w:fill="FFFFFF"/>
        </w:rPr>
        <w:t>万元，主要原因是</w:t>
      </w:r>
      <w:r>
        <w:rPr>
          <w:rFonts w:hint="eastAsia" w:ascii="仿宋_GB2312" w:hAnsi="仿宋_GB2312" w:eastAsia="仿宋_GB2312" w:cs="仿宋_GB2312"/>
          <w:i w:val="0"/>
          <w:iCs w:val="0"/>
          <w:caps w:val="0"/>
          <w:color w:val="auto"/>
          <w:spacing w:val="0"/>
          <w:sz w:val="32"/>
          <w:szCs w:val="32"/>
          <w:shd w:val="clear" w:fill="FFFFFF"/>
          <w:lang w:val="en-US" w:eastAsia="zh-CN"/>
        </w:rPr>
        <w:t>行政运行</w:t>
      </w:r>
      <w:r>
        <w:rPr>
          <w:rFonts w:hint="eastAsia" w:ascii="仿宋_GB2312" w:hAnsi="仿宋_GB2312" w:eastAsia="仿宋_GB2312" w:cs="仿宋_GB2312"/>
          <w:i w:val="0"/>
          <w:iCs w:val="0"/>
          <w:caps w:val="0"/>
          <w:color w:val="auto"/>
          <w:spacing w:val="0"/>
          <w:sz w:val="32"/>
          <w:szCs w:val="32"/>
          <w:shd w:val="clear" w:fill="FFFFFF"/>
        </w:rPr>
        <w:t>收入</w:t>
      </w:r>
      <w:r>
        <w:rPr>
          <w:rFonts w:hint="eastAsia" w:ascii="仿宋_GB2312" w:hAnsi="仿宋_GB2312" w:eastAsia="仿宋_GB2312" w:cs="仿宋_GB2312"/>
          <w:i w:val="0"/>
          <w:iCs w:val="0"/>
          <w:caps w:val="0"/>
          <w:color w:val="auto"/>
          <w:spacing w:val="0"/>
          <w:sz w:val="32"/>
          <w:szCs w:val="32"/>
          <w:shd w:val="clear" w:fill="FFFFFF"/>
          <w:lang w:val="en-US" w:eastAsia="zh-CN"/>
        </w:rPr>
        <w:t>增加</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决算收入与年初预算428.69万元相比，增加46.98万元，主要原因是国有资产监管收入增加。</w:t>
      </w:r>
    </w:p>
    <w:p w14:paraId="5CC6A60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下陆区财政局</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年度决算总支出合计</w:t>
      </w:r>
      <w:r>
        <w:rPr>
          <w:rFonts w:hint="eastAsia" w:ascii="仿宋_GB2312" w:hAnsi="仿宋_GB2312" w:eastAsia="仿宋_GB2312" w:cs="仿宋_GB2312"/>
          <w:i w:val="0"/>
          <w:iCs w:val="0"/>
          <w:caps w:val="0"/>
          <w:color w:val="auto"/>
          <w:spacing w:val="0"/>
          <w:sz w:val="32"/>
          <w:szCs w:val="32"/>
          <w:shd w:val="clear" w:fill="FFFFFF"/>
          <w:lang w:val="en-US" w:eastAsia="zh-CN"/>
        </w:rPr>
        <w:t>511.52</w:t>
      </w:r>
      <w:r>
        <w:rPr>
          <w:rFonts w:hint="eastAsia" w:ascii="仿宋_GB2312" w:hAnsi="仿宋_GB2312" w:eastAsia="仿宋_GB2312" w:cs="仿宋_GB2312"/>
          <w:i w:val="0"/>
          <w:iCs w:val="0"/>
          <w:caps w:val="0"/>
          <w:color w:val="auto"/>
          <w:spacing w:val="0"/>
          <w:sz w:val="32"/>
          <w:szCs w:val="32"/>
          <w:shd w:val="clear" w:fill="FFFFFF"/>
        </w:rPr>
        <w:t>万元，较20</w:t>
      </w:r>
      <w:r>
        <w:rPr>
          <w:rFonts w:hint="eastAsia" w:ascii="仿宋_GB2312" w:hAnsi="仿宋_GB2312" w:eastAsia="仿宋_GB2312" w:cs="仿宋_GB2312"/>
          <w:i w:val="0"/>
          <w:iCs w:val="0"/>
          <w:caps w:val="0"/>
          <w:color w:val="auto"/>
          <w:spacing w:val="0"/>
          <w:sz w:val="32"/>
          <w:szCs w:val="32"/>
          <w:shd w:val="clear" w:fill="FFFFFF"/>
          <w:lang w:val="en-US" w:eastAsia="zh-CN"/>
        </w:rPr>
        <w:t>20</w:t>
      </w:r>
      <w:r>
        <w:rPr>
          <w:rFonts w:hint="eastAsia" w:ascii="仿宋_GB2312" w:hAnsi="仿宋_GB2312" w:eastAsia="仿宋_GB2312" w:cs="仿宋_GB2312"/>
          <w:i w:val="0"/>
          <w:iCs w:val="0"/>
          <w:caps w:val="0"/>
          <w:color w:val="auto"/>
          <w:spacing w:val="0"/>
          <w:sz w:val="32"/>
          <w:szCs w:val="32"/>
          <w:shd w:val="clear" w:fill="FFFFFF"/>
        </w:rPr>
        <w:t>年度决算总支出432.38万元</w:t>
      </w:r>
      <w:r>
        <w:rPr>
          <w:rFonts w:hint="eastAsia" w:ascii="仿宋_GB2312" w:hAnsi="仿宋_GB2312" w:eastAsia="仿宋_GB2312" w:cs="仿宋_GB2312"/>
          <w:i w:val="0"/>
          <w:iCs w:val="0"/>
          <w:caps w:val="0"/>
          <w:color w:val="auto"/>
          <w:spacing w:val="0"/>
          <w:sz w:val="32"/>
          <w:szCs w:val="32"/>
          <w:shd w:val="clear" w:fill="FFFFFF"/>
          <w:lang w:val="en-US" w:eastAsia="zh-CN"/>
        </w:rPr>
        <w:t>增加</w:t>
      </w:r>
      <w:r>
        <w:rPr>
          <w:rFonts w:hint="eastAsia" w:ascii="仿宋_GB2312" w:hAnsi="仿宋_GB2312" w:eastAsia="仿宋_GB2312" w:cs="仿宋_GB2312"/>
          <w:i w:val="0"/>
          <w:iCs w:val="0"/>
          <w:caps w:val="0"/>
          <w:color w:val="auto"/>
          <w:spacing w:val="0"/>
          <w:sz w:val="32"/>
          <w:szCs w:val="32"/>
          <w:shd w:val="clear" w:fill="FFFFFF"/>
        </w:rPr>
        <w:t>了</w:t>
      </w:r>
      <w:r>
        <w:rPr>
          <w:rFonts w:hint="eastAsia" w:ascii="仿宋_GB2312" w:hAnsi="仿宋_GB2312" w:eastAsia="仿宋_GB2312" w:cs="仿宋_GB2312"/>
          <w:i w:val="0"/>
          <w:iCs w:val="0"/>
          <w:caps w:val="0"/>
          <w:color w:val="auto"/>
          <w:spacing w:val="0"/>
          <w:sz w:val="32"/>
          <w:szCs w:val="32"/>
          <w:shd w:val="clear" w:fill="FFFFFF"/>
          <w:lang w:val="en-US" w:eastAsia="zh-CN"/>
        </w:rPr>
        <w:t>79.14</w:t>
      </w:r>
      <w:r>
        <w:rPr>
          <w:rFonts w:hint="eastAsia" w:ascii="仿宋_GB2312" w:hAnsi="仿宋_GB2312" w:eastAsia="仿宋_GB2312" w:cs="仿宋_GB2312"/>
          <w:i w:val="0"/>
          <w:iCs w:val="0"/>
          <w:caps w:val="0"/>
          <w:color w:val="auto"/>
          <w:spacing w:val="0"/>
          <w:sz w:val="32"/>
          <w:szCs w:val="32"/>
          <w:shd w:val="clear" w:fill="FFFFFF"/>
        </w:rPr>
        <w:t>万元，主要是</w:t>
      </w:r>
      <w:r>
        <w:rPr>
          <w:rFonts w:hint="eastAsia" w:ascii="仿宋_GB2312" w:hAnsi="仿宋_GB2312" w:eastAsia="仿宋_GB2312" w:cs="仿宋_GB2312"/>
          <w:i w:val="0"/>
          <w:iCs w:val="0"/>
          <w:caps w:val="0"/>
          <w:color w:val="auto"/>
          <w:spacing w:val="0"/>
          <w:sz w:val="32"/>
          <w:szCs w:val="32"/>
          <w:shd w:val="clear" w:fill="FFFFFF"/>
          <w:lang w:val="en-US" w:eastAsia="zh-CN"/>
        </w:rPr>
        <w:t>由于业务需要，追加国有资产维修费和评估费48.7万元，导致</w:t>
      </w:r>
      <w:r>
        <w:rPr>
          <w:rFonts w:hint="eastAsia" w:ascii="仿宋_GB2312" w:hAnsi="仿宋_GB2312" w:eastAsia="仿宋_GB2312" w:cs="仿宋_GB2312"/>
          <w:i w:val="0"/>
          <w:iCs w:val="0"/>
          <w:caps w:val="0"/>
          <w:color w:val="auto"/>
          <w:spacing w:val="0"/>
          <w:sz w:val="32"/>
          <w:szCs w:val="32"/>
          <w:shd w:val="clear" w:fill="FFFFFF"/>
        </w:rPr>
        <w:t>基本支出有所</w:t>
      </w:r>
      <w:r>
        <w:rPr>
          <w:rFonts w:hint="eastAsia" w:ascii="仿宋_GB2312" w:hAnsi="仿宋_GB2312" w:eastAsia="仿宋_GB2312" w:cs="仿宋_GB2312"/>
          <w:i w:val="0"/>
          <w:iCs w:val="0"/>
          <w:caps w:val="0"/>
          <w:color w:val="auto"/>
          <w:spacing w:val="0"/>
          <w:sz w:val="32"/>
          <w:szCs w:val="32"/>
          <w:shd w:val="clear" w:fill="FFFFFF"/>
          <w:lang w:val="en-US" w:eastAsia="zh-CN"/>
        </w:rPr>
        <w:t>增加</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决算支出与年初预算428.69万元相比，增加82.83万元，主要原因是追加国有资产维修费和评估费48.7万元及增加预算改革业务支出32.91万元。</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bCs/>
          <w:i w:val="0"/>
          <w:iCs w:val="0"/>
          <w:caps w:val="0"/>
          <w:color w:val="auto"/>
          <w:spacing w:val="0"/>
          <w:sz w:val="32"/>
          <w:szCs w:val="32"/>
          <w:shd w:val="clear" w:fill="FFFFFF"/>
          <w:lang w:val="en-US" w:eastAsia="zh-CN"/>
        </w:rPr>
        <w:t>三、财政拨款</w:t>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收入支出决算情况说明</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w:t>
      </w:r>
      <w:r>
        <w:rPr>
          <w:rFonts w:hint="eastAsia" w:ascii="仿宋_GB2312" w:hAnsi="仿宋_GB2312" w:eastAsia="仿宋_GB2312" w:cs="仿宋_GB2312"/>
          <w:i w:val="0"/>
          <w:iCs w:val="0"/>
          <w:caps w:val="0"/>
          <w:color w:val="auto"/>
          <w:spacing w:val="0"/>
          <w:sz w:val="32"/>
          <w:szCs w:val="32"/>
          <w:shd w:val="clear" w:fill="FFFFFF"/>
          <w:lang w:val="en-US" w:eastAsia="zh-CN"/>
        </w:rPr>
        <w:t>财政拨款收入475.67</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年初结转结余35.85万元，其中：一般公共预算拨款收入475.67万元。</w:t>
      </w:r>
    </w:p>
    <w:p w14:paraId="646CE76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b w:val="0"/>
          <w:i w:val="0"/>
          <w:caps w:val="0"/>
          <w:color w:val="000000"/>
          <w:spacing w:val="8"/>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年度支出</w:t>
      </w:r>
      <w:r>
        <w:rPr>
          <w:rFonts w:hint="eastAsia" w:ascii="仿宋_GB2312" w:hAnsi="仿宋_GB2312" w:eastAsia="仿宋_GB2312" w:cs="仿宋_GB2312"/>
          <w:i w:val="0"/>
          <w:iCs w:val="0"/>
          <w:caps w:val="0"/>
          <w:color w:val="auto"/>
          <w:spacing w:val="0"/>
          <w:sz w:val="32"/>
          <w:szCs w:val="32"/>
          <w:shd w:val="clear" w:fill="FFFFFF"/>
          <w:lang w:val="en-US" w:eastAsia="zh-CN"/>
        </w:rPr>
        <w:t>511.52</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按支出性质分类</w:t>
      </w:r>
      <w:r>
        <w:rPr>
          <w:rFonts w:hint="eastAsia" w:ascii="仿宋_GB2312" w:hAnsi="仿宋_GB2312" w:eastAsia="仿宋_GB2312" w:cs="仿宋_GB2312"/>
          <w:i w:val="0"/>
          <w:iCs w:val="0"/>
          <w:caps w:val="0"/>
          <w:color w:val="auto"/>
          <w:spacing w:val="0"/>
          <w:sz w:val="32"/>
          <w:szCs w:val="32"/>
          <w:shd w:val="clear" w:fill="FFFFFF"/>
        </w:rPr>
        <w:t>：基本支出</w:t>
      </w:r>
      <w:r>
        <w:rPr>
          <w:rFonts w:hint="eastAsia" w:ascii="仿宋_GB2312" w:hAnsi="仿宋_GB2312" w:eastAsia="仿宋_GB2312" w:cs="仿宋_GB2312"/>
          <w:i w:val="0"/>
          <w:iCs w:val="0"/>
          <w:caps w:val="0"/>
          <w:color w:val="auto"/>
          <w:spacing w:val="0"/>
          <w:sz w:val="32"/>
          <w:szCs w:val="32"/>
          <w:shd w:val="clear" w:fill="FFFFFF"/>
          <w:lang w:val="en-US" w:eastAsia="zh-CN"/>
        </w:rPr>
        <w:t>358.4</w:t>
      </w:r>
      <w:r>
        <w:rPr>
          <w:rFonts w:hint="eastAsia" w:ascii="仿宋_GB2312" w:hAnsi="仿宋_GB2312" w:eastAsia="仿宋_GB2312" w:cs="仿宋_GB2312"/>
          <w:i w:val="0"/>
          <w:iCs w:val="0"/>
          <w:caps w:val="0"/>
          <w:color w:val="auto"/>
          <w:spacing w:val="0"/>
          <w:sz w:val="32"/>
          <w:szCs w:val="32"/>
          <w:shd w:val="clear" w:fill="FFFFFF"/>
        </w:rPr>
        <w:t>万元，项目支出</w:t>
      </w:r>
      <w:r>
        <w:rPr>
          <w:rFonts w:hint="eastAsia" w:ascii="仿宋_GB2312" w:hAnsi="仿宋_GB2312" w:eastAsia="仿宋_GB2312" w:cs="仿宋_GB2312"/>
          <w:i w:val="0"/>
          <w:iCs w:val="0"/>
          <w:caps w:val="0"/>
          <w:color w:val="auto"/>
          <w:spacing w:val="0"/>
          <w:sz w:val="32"/>
          <w:szCs w:val="32"/>
          <w:shd w:val="clear" w:fill="FFFFFF"/>
          <w:lang w:val="en-US" w:eastAsia="zh-CN"/>
        </w:rPr>
        <w:t>153.13万</w:t>
      </w:r>
      <w:r>
        <w:rPr>
          <w:rFonts w:hint="eastAsia" w:ascii="仿宋_GB2312" w:hAnsi="仿宋_GB2312" w:eastAsia="仿宋_GB2312" w:cs="仿宋_GB2312"/>
          <w:i w:val="0"/>
          <w:iCs w:val="0"/>
          <w:caps w:val="0"/>
          <w:color w:val="auto"/>
          <w:spacing w:val="0"/>
          <w:sz w:val="32"/>
          <w:szCs w:val="32"/>
          <w:shd w:val="clear" w:fill="FFFFFF"/>
        </w:rPr>
        <w:t>元</w:t>
      </w:r>
      <w:r>
        <w:rPr>
          <w:rFonts w:hint="eastAsia" w:ascii="仿宋_GB2312" w:hAnsi="仿宋_GB2312" w:eastAsia="仿宋_GB2312" w:cs="仿宋_GB2312"/>
          <w:i w:val="0"/>
          <w:iCs w:val="0"/>
          <w:caps w:val="0"/>
          <w:color w:val="auto"/>
          <w:spacing w:val="0"/>
          <w:sz w:val="32"/>
          <w:szCs w:val="32"/>
          <w:shd w:val="clear" w:fill="FFFFFF"/>
          <w:lang w:eastAsia="zh-CN"/>
        </w:rPr>
        <w:t>，年末结转和结余</w:t>
      </w:r>
      <w:r>
        <w:rPr>
          <w:rFonts w:hint="eastAsia" w:ascii="仿宋_GB2312" w:hAnsi="仿宋_GB2312" w:eastAsia="仿宋_GB2312" w:cs="仿宋_GB2312"/>
          <w:i w:val="0"/>
          <w:iCs w:val="0"/>
          <w:caps w:val="0"/>
          <w:color w:val="auto"/>
          <w:spacing w:val="0"/>
          <w:sz w:val="32"/>
          <w:szCs w:val="32"/>
          <w:shd w:val="clear" w:fill="FFFFFF"/>
          <w:lang w:val="en-US" w:eastAsia="zh-CN"/>
        </w:rPr>
        <w:t>0万元。</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四、一般公共财政拨款支出决算情况说明</w:t>
      </w:r>
    </w:p>
    <w:p w14:paraId="17C553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年一般公共预算财政拨款支出</w:t>
      </w:r>
      <w:r>
        <w:rPr>
          <w:rFonts w:hint="eastAsia" w:ascii="仿宋_GB2312" w:hAnsi="仿宋_GB2312" w:eastAsia="仿宋_GB2312" w:cs="仿宋_GB2312"/>
          <w:i w:val="0"/>
          <w:iCs w:val="0"/>
          <w:caps w:val="0"/>
          <w:color w:val="auto"/>
          <w:spacing w:val="0"/>
          <w:sz w:val="32"/>
          <w:szCs w:val="32"/>
          <w:shd w:val="clear" w:fill="FFFFFF"/>
          <w:lang w:val="en-US" w:eastAsia="zh-CN"/>
        </w:rPr>
        <w:t>决算数为511.52万元，与上年</w:t>
      </w:r>
      <w:r>
        <w:rPr>
          <w:rFonts w:hint="eastAsia" w:ascii="仿宋_GB2312" w:hAnsi="仿宋_GB2312" w:eastAsia="仿宋_GB2312" w:cs="仿宋_GB2312"/>
          <w:i w:val="0"/>
          <w:iCs w:val="0"/>
          <w:caps w:val="0"/>
          <w:color w:val="auto"/>
          <w:spacing w:val="0"/>
          <w:sz w:val="32"/>
          <w:szCs w:val="32"/>
          <w:shd w:val="clear" w:fill="FFFFFF"/>
        </w:rPr>
        <w:t>决算总支出432.38万元</w:t>
      </w:r>
      <w:r>
        <w:rPr>
          <w:rFonts w:hint="eastAsia" w:ascii="仿宋_GB2312" w:hAnsi="仿宋_GB2312" w:eastAsia="仿宋_GB2312" w:cs="仿宋_GB2312"/>
          <w:i w:val="0"/>
          <w:iCs w:val="0"/>
          <w:caps w:val="0"/>
          <w:color w:val="auto"/>
          <w:spacing w:val="0"/>
          <w:sz w:val="32"/>
          <w:szCs w:val="32"/>
          <w:shd w:val="clear" w:fill="FFFFFF"/>
          <w:lang w:val="en-US" w:eastAsia="zh-CN"/>
        </w:rPr>
        <w:t>相比增加</w:t>
      </w:r>
      <w:r>
        <w:rPr>
          <w:rFonts w:hint="eastAsia" w:ascii="仿宋_GB2312" w:hAnsi="仿宋_GB2312" w:eastAsia="仿宋_GB2312" w:cs="仿宋_GB2312"/>
          <w:i w:val="0"/>
          <w:iCs w:val="0"/>
          <w:caps w:val="0"/>
          <w:color w:val="auto"/>
          <w:spacing w:val="0"/>
          <w:sz w:val="32"/>
          <w:szCs w:val="32"/>
          <w:shd w:val="clear" w:fill="FFFFFF"/>
        </w:rPr>
        <w:t>了</w:t>
      </w:r>
      <w:r>
        <w:rPr>
          <w:rFonts w:hint="eastAsia" w:ascii="仿宋_GB2312" w:hAnsi="仿宋_GB2312" w:eastAsia="仿宋_GB2312" w:cs="仿宋_GB2312"/>
          <w:i w:val="0"/>
          <w:iCs w:val="0"/>
          <w:caps w:val="0"/>
          <w:color w:val="auto"/>
          <w:spacing w:val="0"/>
          <w:sz w:val="32"/>
          <w:szCs w:val="32"/>
          <w:shd w:val="clear" w:fill="FFFFFF"/>
          <w:lang w:val="en-US" w:eastAsia="zh-CN"/>
        </w:rPr>
        <w:t>79.14</w:t>
      </w:r>
      <w:r>
        <w:rPr>
          <w:rFonts w:hint="eastAsia" w:ascii="仿宋_GB2312" w:hAnsi="仿宋_GB2312" w:eastAsia="仿宋_GB2312" w:cs="仿宋_GB2312"/>
          <w:i w:val="0"/>
          <w:iCs w:val="0"/>
          <w:caps w:val="0"/>
          <w:color w:val="auto"/>
          <w:spacing w:val="0"/>
          <w:sz w:val="32"/>
          <w:szCs w:val="32"/>
          <w:shd w:val="clear" w:fill="FFFFFF"/>
        </w:rPr>
        <w:t>万元，主要是</w:t>
      </w:r>
      <w:r>
        <w:rPr>
          <w:rFonts w:hint="eastAsia" w:ascii="仿宋_GB2312" w:hAnsi="仿宋_GB2312" w:eastAsia="仿宋_GB2312" w:cs="仿宋_GB2312"/>
          <w:i w:val="0"/>
          <w:iCs w:val="0"/>
          <w:caps w:val="0"/>
          <w:color w:val="auto"/>
          <w:spacing w:val="0"/>
          <w:sz w:val="32"/>
          <w:szCs w:val="32"/>
          <w:shd w:val="clear" w:fill="FFFFFF"/>
          <w:lang w:val="en-US" w:eastAsia="zh-CN"/>
        </w:rPr>
        <w:t>由于业务需要，追加国有资产维修费和评估费48.7万元</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与年初预算数428.69</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相比增加82.83万元，原因是追加国有资产维修费和评估费48.7万元及增加预算改革业务支出32.91万元。</w:t>
      </w:r>
    </w:p>
    <w:p w14:paraId="23EE96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按支出功能分类，</w:t>
      </w:r>
      <w:r>
        <w:rPr>
          <w:rFonts w:hint="eastAsia" w:ascii="仿宋_GB2312" w:hAnsi="仿宋_GB2312" w:eastAsia="仿宋_GB2312" w:cs="仿宋_GB2312"/>
          <w:i w:val="0"/>
          <w:iCs w:val="0"/>
          <w:caps w:val="0"/>
          <w:color w:val="auto"/>
          <w:spacing w:val="0"/>
          <w:sz w:val="32"/>
          <w:szCs w:val="32"/>
          <w:shd w:val="clear" w:fill="FFFFFF"/>
          <w:lang w:val="en-US" w:eastAsia="zh-CN"/>
        </w:rPr>
        <w:t>其中：</w:t>
      </w:r>
      <w:r>
        <w:rPr>
          <w:rFonts w:hint="eastAsia" w:ascii="仿宋_GB2312" w:hAnsi="仿宋_GB2312" w:eastAsia="仿宋_GB2312" w:cs="仿宋_GB2312"/>
          <w:i w:val="0"/>
          <w:iCs w:val="0"/>
          <w:caps w:val="0"/>
          <w:color w:val="auto"/>
          <w:spacing w:val="0"/>
          <w:sz w:val="32"/>
          <w:szCs w:val="32"/>
          <w:shd w:val="clear" w:fill="FFFFFF"/>
        </w:rPr>
        <w:t>一般公共服务支出决算为</w:t>
      </w:r>
      <w:r>
        <w:rPr>
          <w:rFonts w:hint="eastAsia" w:ascii="仿宋_GB2312" w:hAnsi="仿宋_GB2312" w:eastAsia="仿宋_GB2312" w:cs="仿宋_GB2312"/>
          <w:i w:val="0"/>
          <w:iCs w:val="0"/>
          <w:caps w:val="0"/>
          <w:color w:val="auto"/>
          <w:spacing w:val="0"/>
          <w:sz w:val="32"/>
          <w:szCs w:val="32"/>
          <w:shd w:val="clear" w:fill="FFFFFF"/>
          <w:lang w:val="en-US" w:eastAsia="zh-CN"/>
        </w:rPr>
        <w:t>375.84</w:t>
      </w:r>
      <w:r>
        <w:rPr>
          <w:rFonts w:hint="eastAsia" w:ascii="仿宋_GB2312" w:hAnsi="仿宋_GB2312" w:eastAsia="仿宋_GB2312" w:cs="仿宋_GB2312"/>
          <w:i w:val="0"/>
          <w:iCs w:val="0"/>
          <w:caps w:val="0"/>
          <w:color w:val="auto"/>
          <w:spacing w:val="0"/>
          <w:sz w:val="32"/>
          <w:szCs w:val="32"/>
          <w:shd w:val="clear" w:fill="FFFFFF"/>
        </w:rPr>
        <w:t>万元，资源勘探信息支出13</w:t>
      </w:r>
      <w:r>
        <w:rPr>
          <w:rFonts w:hint="eastAsia" w:ascii="仿宋_GB2312" w:hAnsi="仿宋_GB2312" w:eastAsia="仿宋_GB2312" w:cs="仿宋_GB2312"/>
          <w:i w:val="0"/>
          <w:iCs w:val="0"/>
          <w:caps w:val="0"/>
          <w:color w:val="auto"/>
          <w:spacing w:val="0"/>
          <w:sz w:val="32"/>
          <w:szCs w:val="32"/>
          <w:shd w:val="clear" w:fill="FFFFFF"/>
          <w:lang w:val="en-US" w:eastAsia="zh-CN"/>
        </w:rPr>
        <w:t>5.68</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eastAsia="zh-CN"/>
        </w:rPr>
        <w:t>。</w:t>
      </w:r>
    </w:p>
    <w:p w14:paraId="4207D28A">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一般公共预算财政拨款基本支出决算情况说明</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下陆区财政局202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年一般公共预算财政拨款基本支出</w:t>
      </w:r>
      <w:r>
        <w:rPr>
          <w:rFonts w:hint="eastAsia" w:ascii="仿宋_GB2312" w:hAnsi="仿宋_GB2312" w:eastAsia="仿宋_GB2312" w:cs="仿宋_GB2312"/>
          <w:i w:val="0"/>
          <w:iCs w:val="0"/>
          <w:caps w:val="0"/>
          <w:color w:val="auto"/>
          <w:spacing w:val="0"/>
          <w:sz w:val="32"/>
          <w:szCs w:val="32"/>
          <w:shd w:val="clear" w:fill="FFFFFF"/>
          <w:lang w:val="en-US" w:eastAsia="zh-CN"/>
        </w:rPr>
        <w:t>358.4</w:t>
      </w:r>
      <w:r>
        <w:rPr>
          <w:rFonts w:hint="eastAsia" w:ascii="仿宋_GB2312" w:hAnsi="仿宋_GB2312" w:eastAsia="仿宋_GB2312" w:cs="仿宋_GB2312"/>
          <w:i w:val="0"/>
          <w:iCs w:val="0"/>
          <w:caps w:val="0"/>
          <w:color w:val="auto"/>
          <w:spacing w:val="0"/>
          <w:sz w:val="32"/>
          <w:szCs w:val="32"/>
          <w:shd w:val="clear" w:fill="FFFFFF"/>
        </w:rPr>
        <w:t>万元，较上年</w:t>
      </w:r>
      <w:r>
        <w:rPr>
          <w:rFonts w:hint="eastAsia" w:ascii="仿宋_GB2312" w:hAnsi="仿宋_GB2312" w:eastAsia="仿宋_GB2312" w:cs="仿宋_GB2312"/>
          <w:i w:val="0"/>
          <w:iCs w:val="0"/>
          <w:caps w:val="0"/>
          <w:color w:val="auto"/>
          <w:spacing w:val="0"/>
          <w:sz w:val="32"/>
          <w:szCs w:val="32"/>
          <w:shd w:val="clear" w:fill="FFFFFF"/>
          <w:lang w:val="en-US" w:eastAsia="zh-CN"/>
        </w:rPr>
        <w:t>增加99.26</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增</w:t>
      </w:r>
      <w:r>
        <w:rPr>
          <w:rFonts w:hint="eastAsia" w:ascii="仿宋_GB2312" w:hAnsi="仿宋_GB2312" w:eastAsia="仿宋_GB2312" w:cs="仿宋_GB2312"/>
          <w:i w:val="0"/>
          <w:iCs w:val="0"/>
          <w:caps w:val="0"/>
          <w:color w:val="auto"/>
          <w:spacing w:val="0"/>
          <w:sz w:val="32"/>
          <w:szCs w:val="32"/>
          <w:shd w:val="clear" w:fill="FFFFFF"/>
        </w:rPr>
        <w:t>幅</w:t>
      </w:r>
      <w:r>
        <w:rPr>
          <w:rFonts w:hint="eastAsia" w:ascii="仿宋_GB2312" w:hAnsi="仿宋_GB2312" w:eastAsia="仿宋_GB2312" w:cs="仿宋_GB2312"/>
          <w:i w:val="0"/>
          <w:iCs w:val="0"/>
          <w:caps w:val="0"/>
          <w:color w:val="auto"/>
          <w:spacing w:val="0"/>
          <w:sz w:val="32"/>
          <w:szCs w:val="32"/>
          <w:shd w:val="clear" w:fill="FFFFFF"/>
          <w:lang w:val="en-US" w:eastAsia="zh-CN"/>
        </w:rPr>
        <w:t>38.3</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主要原因是公用经费增加。</w:t>
      </w:r>
      <w:r>
        <w:rPr>
          <w:rFonts w:hint="eastAsia" w:ascii="仿宋_GB2312" w:hAnsi="仿宋_GB2312" w:eastAsia="仿宋_GB2312" w:cs="仿宋_GB2312"/>
          <w:i w:val="0"/>
          <w:iCs w:val="0"/>
          <w:caps w:val="0"/>
          <w:color w:val="auto"/>
          <w:spacing w:val="0"/>
          <w:sz w:val="32"/>
          <w:szCs w:val="32"/>
          <w:shd w:val="clear" w:fill="FFFFFF"/>
        </w:rPr>
        <w:t>其中，人员经费支出</w:t>
      </w:r>
      <w:r>
        <w:rPr>
          <w:rFonts w:hint="eastAsia" w:ascii="仿宋_GB2312" w:hAnsi="仿宋_GB2312" w:eastAsia="仿宋_GB2312" w:cs="仿宋_GB2312"/>
          <w:i w:val="0"/>
          <w:iCs w:val="0"/>
          <w:caps w:val="0"/>
          <w:color w:val="auto"/>
          <w:spacing w:val="0"/>
          <w:sz w:val="32"/>
          <w:szCs w:val="32"/>
          <w:shd w:val="clear" w:fill="FFFFFF"/>
          <w:lang w:val="en-US" w:eastAsia="zh-CN"/>
        </w:rPr>
        <w:t>229.5</w:t>
      </w:r>
      <w:r>
        <w:rPr>
          <w:rFonts w:hint="eastAsia" w:ascii="仿宋_GB2312" w:hAnsi="仿宋_GB2312" w:eastAsia="仿宋_GB2312" w:cs="仿宋_GB2312"/>
          <w:i w:val="0"/>
          <w:iCs w:val="0"/>
          <w:caps w:val="0"/>
          <w:color w:val="auto"/>
          <w:spacing w:val="0"/>
          <w:sz w:val="32"/>
          <w:szCs w:val="32"/>
          <w:shd w:val="clear" w:fill="FFFFFF"/>
        </w:rPr>
        <w:t>万元，较上年</w:t>
      </w:r>
      <w:r>
        <w:rPr>
          <w:rFonts w:hint="eastAsia" w:ascii="仿宋_GB2312" w:hAnsi="仿宋_GB2312" w:eastAsia="仿宋_GB2312" w:cs="仿宋_GB2312"/>
          <w:i w:val="0"/>
          <w:iCs w:val="0"/>
          <w:caps w:val="0"/>
          <w:color w:val="auto"/>
          <w:spacing w:val="0"/>
          <w:sz w:val="32"/>
          <w:szCs w:val="32"/>
          <w:shd w:val="clear" w:fill="FFFFFF"/>
          <w:lang w:val="en-US" w:eastAsia="zh-CN"/>
        </w:rPr>
        <w:t>增加27.03</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增</w:t>
      </w:r>
      <w:r>
        <w:rPr>
          <w:rFonts w:hint="eastAsia" w:ascii="仿宋_GB2312" w:hAnsi="仿宋_GB2312" w:eastAsia="仿宋_GB2312" w:cs="仿宋_GB2312"/>
          <w:i w:val="0"/>
          <w:iCs w:val="0"/>
          <w:caps w:val="0"/>
          <w:color w:val="auto"/>
          <w:spacing w:val="0"/>
          <w:sz w:val="32"/>
          <w:szCs w:val="32"/>
          <w:shd w:val="clear" w:fill="FFFFFF"/>
        </w:rPr>
        <w:t>幅</w:t>
      </w:r>
      <w:r>
        <w:rPr>
          <w:rFonts w:hint="eastAsia" w:ascii="仿宋_GB2312" w:hAnsi="仿宋_GB2312" w:eastAsia="仿宋_GB2312" w:cs="仿宋_GB2312"/>
          <w:i w:val="0"/>
          <w:iCs w:val="0"/>
          <w:caps w:val="0"/>
          <w:color w:val="auto"/>
          <w:spacing w:val="0"/>
          <w:sz w:val="32"/>
          <w:szCs w:val="32"/>
          <w:shd w:val="clear" w:fill="FFFFFF"/>
          <w:lang w:val="en-US" w:eastAsia="zh-CN"/>
        </w:rPr>
        <w:t>13.35</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原因是</w:t>
      </w:r>
      <w:r>
        <w:rPr>
          <w:rFonts w:hint="default" w:ascii="仿宋_GB2312" w:hAnsi="仿宋_GB2312" w:eastAsia="仿宋_GB2312" w:cs="仿宋_GB2312"/>
          <w:i w:val="0"/>
          <w:iCs w:val="0"/>
          <w:caps w:val="0"/>
          <w:color w:val="auto"/>
          <w:spacing w:val="0"/>
          <w:sz w:val="32"/>
          <w:szCs w:val="32"/>
          <w:shd w:val="clear" w:fill="FFFFFF"/>
        </w:rPr>
        <w:t>本年度</w:t>
      </w:r>
      <w:r>
        <w:rPr>
          <w:rFonts w:hint="eastAsia" w:ascii="仿宋_GB2312" w:hAnsi="仿宋_GB2312" w:eastAsia="仿宋_GB2312" w:cs="仿宋_GB2312"/>
          <w:i w:val="0"/>
          <w:iCs w:val="0"/>
          <w:caps w:val="0"/>
          <w:color w:val="auto"/>
          <w:spacing w:val="0"/>
          <w:sz w:val="32"/>
          <w:szCs w:val="32"/>
          <w:shd w:val="clear" w:fill="FFFFFF"/>
        </w:rPr>
        <w:t>人员养老保险、医保、公积金等社会保险基数较上年有所增加。人员经费主要包括：基本工资、津贴补贴、奖金、社会保险缴费、离退休费、医疗费、住房公积金、职业年金、机关事业单位养老保险等支出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日常公用经费支出</w:t>
      </w:r>
      <w:r>
        <w:rPr>
          <w:rFonts w:hint="eastAsia" w:ascii="仿宋_GB2312" w:hAnsi="仿宋_GB2312" w:eastAsia="仿宋_GB2312" w:cs="仿宋_GB2312"/>
          <w:i w:val="0"/>
          <w:iCs w:val="0"/>
          <w:caps w:val="0"/>
          <w:color w:val="auto"/>
          <w:spacing w:val="0"/>
          <w:sz w:val="32"/>
          <w:szCs w:val="32"/>
          <w:shd w:val="clear" w:fill="FFFFFF"/>
          <w:lang w:val="en-US" w:eastAsia="zh-CN"/>
        </w:rPr>
        <w:t>128.89</w:t>
      </w:r>
      <w:r>
        <w:rPr>
          <w:rFonts w:hint="eastAsia" w:ascii="仿宋_GB2312" w:hAnsi="仿宋_GB2312" w:eastAsia="仿宋_GB2312" w:cs="仿宋_GB2312"/>
          <w:i w:val="0"/>
          <w:iCs w:val="0"/>
          <w:caps w:val="0"/>
          <w:color w:val="auto"/>
          <w:spacing w:val="0"/>
          <w:sz w:val="32"/>
          <w:szCs w:val="32"/>
          <w:shd w:val="clear" w:fill="FFFFFF"/>
        </w:rPr>
        <w:t>万元，较上年</w:t>
      </w:r>
      <w:r>
        <w:rPr>
          <w:rFonts w:hint="eastAsia" w:ascii="仿宋_GB2312" w:hAnsi="仿宋_GB2312" w:eastAsia="仿宋_GB2312" w:cs="仿宋_GB2312"/>
          <w:i w:val="0"/>
          <w:iCs w:val="0"/>
          <w:caps w:val="0"/>
          <w:color w:val="auto"/>
          <w:spacing w:val="0"/>
          <w:sz w:val="32"/>
          <w:szCs w:val="32"/>
          <w:shd w:val="clear" w:fill="FFFFFF"/>
          <w:lang w:val="en-US" w:eastAsia="zh-CN"/>
        </w:rPr>
        <w:t>增加72.25</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增</w:t>
      </w:r>
      <w:r>
        <w:rPr>
          <w:rFonts w:hint="eastAsia" w:ascii="仿宋_GB2312" w:hAnsi="仿宋_GB2312" w:eastAsia="仿宋_GB2312" w:cs="仿宋_GB2312"/>
          <w:i w:val="0"/>
          <w:iCs w:val="0"/>
          <w:caps w:val="0"/>
          <w:color w:val="auto"/>
          <w:spacing w:val="0"/>
          <w:sz w:val="32"/>
          <w:szCs w:val="32"/>
          <w:shd w:val="clear" w:fill="FFFFFF"/>
        </w:rPr>
        <w:t>幅</w:t>
      </w:r>
      <w:r>
        <w:rPr>
          <w:rFonts w:hint="eastAsia" w:ascii="仿宋_GB2312" w:hAnsi="仿宋_GB2312" w:eastAsia="仿宋_GB2312" w:cs="仿宋_GB2312"/>
          <w:i w:val="0"/>
          <w:iCs w:val="0"/>
          <w:caps w:val="0"/>
          <w:color w:val="auto"/>
          <w:spacing w:val="0"/>
          <w:sz w:val="32"/>
          <w:szCs w:val="32"/>
          <w:shd w:val="clear" w:fill="FFFFFF"/>
          <w:lang w:val="en-US" w:eastAsia="zh-CN"/>
        </w:rPr>
        <w:t>127.56</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原因是根据工作需要，本年支付了较多评审费、维修费</w:t>
      </w:r>
      <w:r>
        <w:rPr>
          <w:rFonts w:hint="eastAsia" w:ascii="仿宋_GB2312" w:hAnsi="仿宋_GB2312" w:eastAsia="仿宋_GB2312" w:cs="仿宋_GB2312"/>
          <w:i w:val="0"/>
          <w:iCs w:val="0"/>
          <w:caps w:val="0"/>
          <w:color w:val="auto"/>
          <w:spacing w:val="0"/>
          <w:sz w:val="32"/>
          <w:szCs w:val="32"/>
          <w:shd w:val="clear" w:fill="FFFFFF"/>
        </w:rPr>
        <w:t>。日常公用经费主要包括：办公费、印刷费、水费、电费、邮电费、物业管理费、差旅费、因公出国（境）费、维修（护）费、租赁费、会议费、培训费、公务接待费、劳务费、工会经费、福利费、公车运行维护费、其他交通费、其他商品和服务支出、办公设备购置等。</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bCs/>
          <w:i w:val="0"/>
          <w:iCs w:val="0"/>
          <w:caps w:val="0"/>
          <w:color w:val="auto"/>
          <w:spacing w:val="0"/>
          <w:sz w:val="32"/>
          <w:szCs w:val="32"/>
          <w:shd w:val="clear" w:fill="FFFFFF"/>
          <w:lang w:val="en-US" w:eastAsia="zh-CN"/>
        </w:rPr>
        <w:t>六、一般公共预算财政拨款</w:t>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“三公”经费支出决算情况说明</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2021年度“三公”经费支出决算数为0.18万元，与2020年支出决算数0万元相比增加0.18万元，增加原因是公务接待费增加。与2021年预算数0.64万元相比减少0.46万元，</w:t>
      </w:r>
      <w:r>
        <w:rPr>
          <w:rFonts w:hint="default" w:ascii="仿宋_GB2312" w:hAnsi="仿宋_GB2312" w:eastAsia="仿宋_GB2312" w:cs="仿宋_GB2312"/>
          <w:i w:val="0"/>
          <w:iCs w:val="0"/>
          <w:caps w:val="0"/>
          <w:color w:val="auto"/>
          <w:spacing w:val="0"/>
          <w:sz w:val="32"/>
          <w:szCs w:val="32"/>
          <w:shd w:val="clear" w:fill="FFFFFF"/>
        </w:rPr>
        <w:t>减少原因是认真</w:t>
      </w:r>
      <w:r>
        <w:rPr>
          <w:rFonts w:hint="eastAsia" w:ascii="仿宋_GB2312" w:hAnsi="仿宋_GB2312" w:eastAsia="仿宋_GB2312" w:cs="仿宋_GB2312"/>
          <w:i w:val="0"/>
          <w:iCs w:val="0"/>
          <w:caps w:val="0"/>
          <w:color w:val="auto"/>
          <w:spacing w:val="0"/>
          <w:sz w:val="32"/>
          <w:szCs w:val="32"/>
          <w:shd w:val="clear" w:fill="FFFFFF"/>
          <w:lang w:eastAsia="zh-CN"/>
        </w:rPr>
        <w:t>贯彻落实中央八项规定</w:t>
      </w:r>
      <w:r>
        <w:rPr>
          <w:rFonts w:hint="default" w:ascii="仿宋_GB2312" w:hAnsi="仿宋_GB2312" w:eastAsia="仿宋_GB2312" w:cs="仿宋_GB2312"/>
          <w:i w:val="0"/>
          <w:iCs w:val="0"/>
          <w:caps w:val="0"/>
          <w:color w:val="auto"/>
          <w:spacing w:val="0"/>
          <w:sz w:val="32"/>
          <w:szCs w:val="32"/>
          <w:shd w:val="clear" w:fill="FFFFFF"/>
        </w:rPr>
        <w:t>精神和厉行节约要求，压减公务接待费预算0.46万元，其中:</w:t>
      </w:r>
      <w:r>
        <w:rPr>
          <w:rFonts w:hint="default" w:ascii="仿宋_GB2312" w:hAnsi="仿宋_GB2312" w:eastAsia="仿宋_GB2312" w:cs="仿宋_GB2312"/>
          <w:i w:val="0"/>
          <w:iCs w:val="0"/>
          <w:caps w:val="0"/>
          <w:color w:val="auto"/>
          <w:spacing w:val="0"/>
          <w:sz w:val="32"/>
          <w:szCs w:val="32"/>
          <w:shd w:val="clear" w:fill="FFFFFF"/>
        </w:rPr>
        <w:br w:type="textWrapping"/>
      </w:r>
      <w:r>
        <w:rPr>
          <w:rFonts w:hint="default" w:ascii="仿宋_GB2312" w:hAnsi="仿宋_GB2312" w:eastAsia="仿宋_GB2312" w:cs="仿宋_GB2312"/>
          <w:i w:val="0"/>
          <w:iCs w:val="0"/>
          <w:caps w:val="0"/>
          <w:color w:val="auto"/>
          <w:spacing w:val="0"/>
          <w:sz w:val="32"/>
          <w:szCs w:val="32"/>
          <w:shd w:val="clear" w:fill="FFFFFF"/>
        </w:rPr>
        <w:t>1、因公出国（境）费用支出决算为0万元，共计0组，0人次,与2021年预算数0万元持平，与2020年支出决算数0万元持平</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原因是我单位无</w:t>
      </w:r>
      <w:r>
        <w:rPr>
          <w:rFonts w:hint="default" w:ascii="仿宋_GB2312" w:hAnsi="仿宋_GB2312" w:eastAsia="仿宋_GB2312" w:cs="仿宋_GB2312"/>
          <w:i w:val="0"/>
          <w:iCs w:val="0"/>
          <w:caps w:val="0"/>
          <w:color w:val="auto"/>
          <w:spacing w:val="0"/>
          <w:sz w:val="32"/>
          <w:szCs w:val="32"/>
          <w:shd w:val="clear" w:fill="FFFFFF"/>
        </w:rPr>
        <w:t>因公出国（境）</w:t>
      </w:r>
      <w:r>
        <w:rPr>
          <w:rFonts w:hint="eastAsia" w:ascii="仿宋_GB2312" w:hAnsi="仿宋_GB2312" w:eastAsia="仿宋_GB2312" w:cs="仿宋_GB2312"/>
          <w:i w:val="0"/>
          <w:iCs w:val="0"/>
          <w:caps w:val="0"/>
          <w:color w:val="auto"/>
          <w:spacing w:val="0"/>
          <w:sz w:val="32"/>
          <w:szCs w:val="32"/>
          <w:shd w:val="clear" w:fill="FFFFFF"/>
          <w:lang w:val="en-US" w:eastAsia="zh-CN"/>
        </w:rPr>
        <w:t>计划</w:t>
      </w:r>
      <w:r>
        <w:rPr>
          <w:rFonts w:hint="default" w:ascii="仿宋_GB2312" w:hAnsi="仿宋_GB2312" w:eastAsia="仿宋_GB2312" w:cs="仿宋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br w:type="textWrapping"/>
      </w:r>
      <w:r>
        <w:rPr>
          <w:rFonts w:hint="default" w:ascii="仿宋_GB2312" w:hAnsi="仿宋_GB2312" w:eastAsia="仿宋_GB2312" w:cs="仿宋_GB2312"/>
          <w:i w:val="0"/>
          <w:iCs w:val="0"/>
          <w:caps w:val="0"/>
          <w:color w:val="auto"/>
          <w:spacing w:val="0"/>
          <w:sz w:val="32"/>
          <w:szCs w:val="32"/>
          <w:shd w:val="clear" w:fill="FFFFFF"/>
        </w:rPr>
        <w:t>2、2021年公务用车购置及运行维护费支出决算数为0万元，与2021年预算数0万元持平，与2020年支出决算数0万元持平</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原因是我单位无购车计划</w:t>
      </w:r>
      <w:r>
        <w:rPr>
          <w:rFonts w:hint="default" w:ascii="仿宋_GB2312" w:hAnsi="仿宋_GB2312" w:eastAsia="仿宋_GB2312" w:cs="仿宋_GB2312"/>
          <w:i w:val="0"/>
          <w:iCs w:val="0"/>
          <w:caps w:val="0"/>
          <w:color w:val="auto"/>
          <w:spacing w:val="0"/>
          <w:sz w:val="32"/>
          <w:szCs w:val="32"/>
          <w:shd w:val="clear" w:fill="FFFFFF"/>
        </w:rPr>
        <w:t>。其中：</w:t>
      </w:r>
      <w:r>
        <w:rPr>
          <w:rFonts w:hint="default" w:ascii="仿宋_GB2312" w:hAnsi="仿宋_GB2312" w:eastAsia="仿宋_GB2312" w:cs="仿宋_GB2312"/>
          <w:i w:val="0"/>
          <w:iCs w:val="0"/>
          <w:caps w:val="0"/>
          <w:color w:val="auto"/>
          <w:spacing w:val="0"/>
          <w:sz w:val="32"/>
          <w:szCs w:val="32"/>
          <w:shd w:val="clear" w:fill="FFFFFF"/>
        </w:rPr>
        <w:br w:type="textWrapping"/>
      </w:r>
      <w:r>
        <w:rPr>
          <w:rFonts w:hint="default" w:ascii="仿宋_GB2312" w:hAnsi="仿宋_GB2312" w:eastAsia="仿宋_GB2312" w:cs="仿宋_GB2312"/>
          <w:i w:val="0"/>
          <w:iCs w:val="0"/>
          <w:caps w:val="0"/>
          <w:color w:val="auto"/>
          <w:spacing w:val="0"/>
          <w:sz w:val="32"/>
          <w:szCs w:val="32"/>
          <w:shd w:val="clear" w:fill="FFFFFF"/>
        </w:rPr>
        <w:t>（1）公务用车购置费支出为0万元，车型为：无 ，公务用车保有量为0台。与2021年预算数0万元持平，与2020年支出决算数0万元持平</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原因是我单位无公务用车</w:t>
      </w:r>
      <w:r>
        <w:rPr>
          <w:rFonts w:hint="default" w:ascii="仿宋_GB2312" w:hAnsi="仿宋_GB2312" w:eastAsia="仿宋_GB2312" w:cs="仿宋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br w:type="textWrapping"/>
      </w:r>
      <w:r>
        <w:rPr>
          <w:rFonts w:hint="default" w:ascii="仿宋_GB2312" w:hAnsi="仿宋_GB2312" w:eastAsia="仿宋_GB2312" w:cs="仿宋_GB2312"/>
          <w:i w:val="0"/>
          <w:iCs w:val="0"/>
          <w:caps w:val="0"/>
          <w:color w:val="auto"/>
          <w:spacing w:val="0"/>
          <w:sz w:val="32"/>
          <w:szCs w:val="32"/>
          <w:shd w:val="clear" w:fill="FFFFFF"/>
        </w:rPr>
        <w:t>（2）公务用车运行维护费0万元。与2021年预算数0万元持平</w:t>
      </w:r>
      <w:r>
        <w:rPr>
          <w:rFonts w:hint="eastAsia" w:ascii="仿宋_GB2312" w:hAnsi="仿宋_GB2312" w:eastAsia="仿宋_GB2312" w:cs="仿宋_GB2312"/>
          <w:i w:val="0"/>
          <w:iCs w:val="0"/>
          <w:caps w:val="0"/>
          <w:color w:val="auto"/>
          <w:spacing w:val="0"/>
          <w:sz w:val="32"/>
          <w:szCs w:val="32"/>
          <w:shd w:val="clear" w:fill="FFFFFF"/>
          <w:lang w:val="en-US" w:eastAsia="zh-CN"/>
        </w:rPr>
        <w:t>原因是我单位无此预算，</w:t>
      </w:r>
      <w:r>
        <w:rPr>
          <w:rFonts w:hint="default" w:ascii="仿宋_GB2312" w:hAnsi="仿宋_GB2312" w:eastAsia="仿宋_GB2312" w:cs="仿宋_GB2312"/>
          <w:i w:val="0"/>
          <w:iCs w:val="0"/>
          <w:caps w:val="0"/>
          <w:color w:val="auto"/>
          <w:spacing w:val="0"/>
          <w:sz w:val="32"/>
          <w:szCs w:val="32"/>
          <w:shd w:val="clear" w:fill="FFFFFF"/>
        </w:rPr>
        <w:t>与2020年支出决算数0万元持平</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原因是我单位无公务用车</w:t>
      </w:r>
      <w:r>
        <w:rPr>
          <w:rFonts w:hint="default" w:ascii="仿宋_GB2312" w:hAnsi="仿宋_GB2312" w:eastAsia="仿宋_GB2312" w:cs="仿宋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br w:type="textWrapping"/>
      </w:r>
      <w:r>
        <w:rPr>
          <w:rFonts w:hint="default" w:ascii="仿宋_GB2312" w:hAnsi="仿宋_GB2312" w:eastAsia="仿宋_GB2312" w:cs="仿宋_GB2312"/>
          <w:i w:val="0"/>
          <w:iCs w:val="0"/>
          <w:caps w:val="0"/>
          <w:color w:val="auto"/>
          <w:spacing w:val="0"/>
          <w:sz w:val="32"/>
          <w:szCs w:val="32"/>
          <w:shd w:val="clear" w:fill="FFFFFF"/>
        </w:rPr>
        <w:t>3、公务接待2021年支出决算数为0.18万元、共招待1批次9人，与2021年预算数0</w:t>
      </w:r>
      <w:r>
        <w:rPr>
          <w:rFonts w:hint="eastAsia" w:ascii="仿宋_GB2312" w:hAnsi="仿宋_GB2312" w:eastAsia="仿宋_GB2312" w:cs="仿宋_GB2312"/>
          <w:i w:val="0"/>
          <w:iCs w:val="0"/>
          <w:caps w:val="0"/>
          <w:color w:val="auto"/>
          <w:spacing w:val="0"/>
          <w:sz w:val="32"/>
          <w:szCs w:val="32"/>
          <w:shd w:val="clear" w:fill="FFFFFF"/>
          <w:lang w:val="en-US" w:eastAsia="zh-CN"/>
        </w:rPr>
        <w:t>.64</w:t>
      </w:r>
      <w:r>
        <w:rPr>
          <w:rFonts w:hint="default" w:ascii="仿宋_GB2312" w:hAnsi="仿宋_GB2312" w:eastAsia="仿宋_GB2312" w:cs="仿宋_GB2312"/>
          <w:i w:val="0"/>
          <w:iCs w:val="0"/>
          <w:caps w:val="0"/>
          <w:color w:val="auto"/>
          <w:spacing w:val="0"/>
          <w:sz w:val="32"/>
          <w:szCs w:val="32"/>
          <w:shd w:val="clear" w:fill="FFFFFF"/>
        </w:rPr>
        <w:t>万元相比减少0.46万元，减少原因是认真</w:t>
      </w:r>
      <w:r>
        <w:rPr>
          <w:rFonts w:hint="eastAsia" w:ascii="仿宋_GB2312" w:hAnsi="仿宋_GB2312" w:eastAsia="仿宋_GB2312" w:cs="仿宋_GB2312"/>
          <w:i w:val="0"/>
          <w:iCs w:val="0"/>
          <w:caps w:val="0"/>
          <w:color w:val="auto"/>
          <w:spacing w:val="0"/>
          <w:sz w:val="32"/>
          <w:szCs w:val="32"/>
          <w:shd w:val="clear" w:fill="FFFFFF"/>
          <w:lang w:eastAsia="zh-CN"/>
        </w:rPr>
        <w:t>贯彻落实中央八项规定</w:t>
      </w:r>
      <w:bookmarkStart w:id="0" w:name="_GoBack"/>
      <w:bookmarkEnd w:id="0"/>
      <w:r>
        <w:rPr>
          <w:rFonts w:hint="default" w:ascii="仿宋_GB2312" w:hAnsi="仿宋_GB2312" w:eastAsia="仿宋_GB2312" w:cs="仿宋_GB2312"/>
          <w:i w:val="0"/>
          <w:iCs w:val="0"/>
          <w:caps w:val="0"/>
          <w:color w:val="auto"/>
          <w:spacing w:val="0"/>
          <w:sz w:val="32"/>
          <w:szCs w:val="32"/>
          <w:shd w:val="clear" w:fill="FFFFFF"/>
        </w:rPr>
        <w:t>精神和厉行节约要求，压减公务接待费预算0.46万元。与2020年支出决算数</w:t>
      </w:r>
      <w:r>
        <w:rPr>
          <w:rFonts w:hint="eastAsia" w:ascii="仿宋_GB2312" w:hAnsi="仿宋_GB2312" w:eastAsia="仿宋_GB2312" w:cs="仿宋_GB2312"/>
          <w:i w:val="0"/>
          <w:iCs w:val="0"/>
          <w:caps w:val="0"/>
          <w:color w:val="auto"/>
          <w:spacing w:val="0"/>
          <w:sz w:val="32"/>
          <w:szCs w:val="32"/>
          <w:shd w:val="clear" w:fill="FFFFFF"/>
          <w:lang w:val="en-US" w:eastAsia="zh-CN"/>
        </w:rPr>
        <w:t>相比</w:t>
      </w:r>
      <w:r>
        <w:rPr>
          <w:rFonts w:hint="default" w:ascii="仿宋_GB2312" w:hAnsi="仿宋_GB2312" w:eastAsia="仿宋_GB2312" w:cs="仿宋_GB2312"/>
          <w:i w:val="0"/>
          <w:iCs w:val="0"/>
          <w:caps w:val="0"/>
          <w:color w:val="auto"/>
          <w:spacing w:val="0"/>
          <w:sz w:val="32"/>
          <w:szCs w:val="32"/>
          <w:shd w:val="clear" w:fill="FFFFFF"/>
        </w:rPr>
        <w:t>增加0.18万元，增加原因是公务接待需要，增加招待费用。</w:t>
      </w:r>
    </w:p>
    <w:p w14:paraId="41746DC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Style w:val="7"/>
          <w:rFonts w:hint="default" w:ascii="仿宋_GB2312" w:hAnsi="仿宋_GB2312" w:eastAsia="仿宋_GB2312" w:cs="仿宋_GB2312"/>
          <w:i w:val="0"/>
          <w:iCs w:val="0"/>
          <w:caps w:val="0"/>
          <w:color w:val="auto"/>
          <w:spacing w:val="0"/>
          <w:sz w:val="32"/>
          <w:szCs w:val="32"/>
          <w:shd w:val="clear" w:fill="FFFFFF"/>
          <w:lang w:val="en-US"/>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七、机关运行经费支出情况</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年度机关运行经费</w:t>
      </w:r>
      <w:r>
        <w:rPr>
          <w:rFonts w:hint="eastAsia" w:ascii="仿宋_GB2312" w:hAnsi="仿宋_GB2312" w:eastAsia="仿宋_GB2312" w:cs="仿宋_GB2312"/>
          <w:i w:val="0"/>
          <w:iCs w:val="0"/>
          <w:caps w:val="0"/>
          <w:color w:val="auto"/>
          <w:spacing w:val="0"/>
          <w:sz w:val="32"/>
          <w:szCs w:val="32"/>
          <w:shd w:val="clear" w:fill="FFFFFF"/>
          <w:lang w:val="en-US" w:eastAsia="zh-CN"/>
        </w:rPr>
        <w:t>117.72</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与2020年决算数42.56万元增加了75.16万元，</w:t>
      </w:r>
      <w:r>
        <w:rPr>
          <w:rFonts w:hint="eastAsia" w:ascii="仿宋_GB2312" w:hAnsi="仿宋_GB2312" w:eastAsia="仿宋_GB2312" w:cs="仿宋_GB2312"/>
          <w:i w:val="0"/>
          <w:iCs w:val="0"/>
          <w:caps w:val="0"/>
          <w:color w:val="auto"/>
          <w:spacing w:val="0"/>
          <w:sz w:val="32"/>
          <w:szCs w:val="32"/>
          <w:shd w:val="clear" w:fill="FFFFFF"/>
        </w:rPr>
        <w:t>原因</w:t>
      </w:r>
      <w:r>
        <w:rPr>
          <w:rFonts w:hint="eastAsia" w:ascii="仿宋_GB2312" w:hAnsi="仿宋_GB2312" w:eastAsia="仿宋_GB2312" w:cs="仿宋_GB2312"/>
          <w:i w:val="0"/>
          <w:iCs w:val="0"/>
          <w:caps w:val="0"/>
          <w:color w:val="auto"/>
          <w:spacing w:val="0"/>
          <w:sz w:val="32"/>
          <w:szCs w:val="32"/>
          <w:shd w:val="clear" w:fill="FFFFFF"/>
          <w:lang w:val="en-US" w:eastAsia="zh-CN"/>
        </w:rPr>
        <w:t>主要</w:t>
      </w:r>
      <w:r>
        <w:rPr>
          <w:rFonts w:hint="eastAsia" w:ascii="仿宋_GB2312" w:hAnsi="仿宋_GB2312" w:eastAsia="仿宋_GB2312" w:cs="仿宋_GB2312"/>
          <w:i w:val="0"/>
          <w:iCs w:val="0"/>
          <w:caps w:val="0"/>
          <w:color w:val="auto"/>
          <w:spacing w:val="0"/>
          <w:sz w:val="32"/>
          <w:szCs w:val="32"/>
          <w:shd w:val="clear" w:fill="FFFFFF"/>
        </w:rPr>
        <w:t>是</w:t>
      </w:r>
      <w:r>
        <w:rPr>
          <w:rFonts w:hint="eastAsia" w:ascii="仿宋_GB2312" w:hAnsi="仿宋_GB2312" w:eastAsia="仿宋_GB2312" w:cs="仿宋_GB2312"/>
          <w:i w:val="0"/>
          <w:iCs w:val="0"/>
          <w:caps w:val="0"/>
          <w:color w:val="auto"/>
          <w:spacing w:val="0"/>
          <w:sz w:val="32"/>
          <w:szCs w:val="32"/>
          <w:shd w:val="clear" w:fill="FFFFFF"/>
          <w:lang w:val="en-US" w:eastAsia="zh-CN"/>
        </w:rPr>
        <w:t>由于业务需要，追加国有资产维修费和评估费48.7万元，委托业务费</w:t>
      </w:r>
      <w:r>
        <w:rPr>
          <w:rFonts w:hint="eastAsia" w:ascii="仿宋_GB2312" w:hAnsi="仿宋_GB2312" w:eastAsia="仿宋_GB2312" w:cs="仿宋_GB2312"/>
          <w:i w:val="0"/>
          <w:iCs w:val="0"/>
          <w:caps w:val="0"/>
          <w:color w:val="auto"/>
          <w:spacing w:val="0"/>
          <w:sz w:val="32"/>
          <w:szCs w:val="32"/>
          <w:shd w:val="clear" w:fill="FFFFFF"/>
        </w:rPr>
        <w:t>有所</w:t>
      </w:r>
      <w:r>
        <w:rPr>
          <w:rFonts w:hint="eastAsia" w:ascii="仿宋_GB2312" w:hAnsi="仿宋_GB2312" w:eastAsia="仿宋_GB2312" w:cs="仿宋_GB2312"/>
          <w:i w:val="0"/>
          <w:iCs w:val="0"/>
          <w:caps w:val="0"/>
          <w:color w:val="auto"/>
          <w:spacing w:val="0"/>
          <w:sz w:val="32"/>
          <w:szCs w:val="32"/>
          <w:shd w:val="clear" w:fill="FFFFFF"/>
          <w:lang w:val="en-US" w:eastAsia="zh-CN"/>
        </w:rPr>
        <w:t>增加</w:t>
      </w:r>
      <w:r>
        <w:rPr>
          <w:rFonts w:hint="eastAsia" w:ascii="仿宋_GB2312" w:hAnsi="仿宋_GB2312" w:eastAsia="仿宋_GB2312" w:cs="仿宋_GB2312"/>
          <w:i w:val="0"/>
          <w:iCs w:val="0"/>
          <w:caps w:val="0"/>
          <w:color w:val="auto"/>
          <w:spacing w:val="0"/>
          <w:sz w:val="32"/>
          <w:szCs w:val="32"/>
          <w:shd w:val="clear" w:fill="FFFFFF"/>
        </w:rPr>
        <w:t>。较20</w:t>
      </w:r>
      <w:r>
        <w:rPr>
          <w:rFonts w:hint="eastAsia" w:ascii="仿宋_GB2312" w:hAnsi="仿宋_GB2312" w:eastAsia="仿宋_GB2312" w:cs="仿宋_GB2312"/>
          <w:i w:val="0"/>
          <w:iCs w:val="0"/>
          <w:caps w:val="0"/>
          <w:color w:val="auto"/>
          <w:spacing w:val="0"/>
          <w:sz w:val="32"/>
          <w:szCs w:val="32"/>
          <w:shd w:val="clear" w:fill="FFFFFF"/>
          <w:lang w:val="en-US" w:eastAsia="zh-CN"/>
        </w:rPr>
        <w:t>21</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预算数44.08</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增加</w:t>
      </w:r>
      <w:r>
        <w:rPr>
          <w:rFonts w:hint="eastAsia" w:ascii="仿宋_GB2312" w:hAnsi="仿宋_GB2312" w:eastAsia="仿宋_GB2312" w:cs="仿宋_GB2312"/>
          <w:i w:val="0"/>
          <w:iCs w:val="0"/>
          <w:caps w:val="0"/>
          <w:color w:val="auto"/>
          <w:spacing w:val="0"/>
          <w:sz w:val="32"/>
          <w:szCs w:val="32"/>
          <w:shd w:val="clear" w:fill="FFFFFF"/>
        </w:rPr>
        <w:t>了</w:t>
      </w:r>
      <w:r>
        <w:rPr>
          <w:rFonts w:hint="eastAsia" w:ascii="仿宋_GB2312" w:hAnsi="仿宋_GB2312" w:eastAsia="仿宋_GB2312" w:cs="仿宋_GB2312"/>
          <w:i w:val="0"/>
          <w:iCs w:val="0"/>
          <w:caps w:val="0"/>
          <w:color w:val="auto"/>
          <w:spacing w:val="0"/>
          <w:sz w:val="32"/>
          <w:szCs w:val="32"/>
          <w:shd w:val="clear" w:fill="FFFFFF"/>
          <w:lang w:val="en-US" w:eastAsia="zh-CN"/>
        </w:rPr>
        <w:t>73.64</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原因</w:t>
      </w:r>
      <w:r>
        <w:rPr>
          <w:rFonts w:hint="eastAsia" w:ascii="仿宋_GB2312" w:hAnsi="仿宋_GB2312" w:eastAsia="仿宋_GB2312" w:cs="仿宋_GB2312"/>
          <w:i w:val="0"/>
          <w:iCs w:val="0"/>
          <w:caps w:val="0"/>
          <w:color w:val="auto"/>
          <w:spacing w:val="0"/>
          <w:sz w:val="32"/>
          <w:szCs w:val="32"/>
          <w:shd w:val="clear" w:fill="FFFFFF"/>
          <w:lang w:val="en-US" w:eastAsia="zh-CN"/>
        </w:rPr>
        <w:t>主要</w:t>
      </w:r>
      <w:r>
        <w:rPr>
          <w:rFonts w:hint="eastAsia" w:ascii="仿宋_GB2312" w:hAnsi="仿宋_GB2312" w:eastAsia="仿宋_GB2312" w:cs="仿宋_GB2312"/>
          <w:i w:val="0"/>
          <w:iCs w:val="0"/>
          <w:caps w:val="0"/>
          <w:color w:val="auto"/>
          <w:spacing w:val="0"/>
          <w:sz w:val="32"/>
          <w:szCs w:val="32"/>
          <w:shd w:val="clear" w:fill="FFFFFF"/>
        </w:rPr>
        <w:t>是</w:t>
      </w:r>
      <w:r>
        <w:rPr>
          <w:rFonts w:hint="eastAsia" w:ascii="仿宋_GB2312" w:hAnsi="仿宋_GB2312" w:eastAsia="仿宋_GB2312" w:cs="仿宋_GB2312"/>
          <w:i w:val="0"/>
          <w:iCs w:val="0"/>
          <w:caps w:val="0"/>
          <w:color w:val="auto"/>
          <w:spacing w:val="0"/>
          <w:sz w:val="32"/>
          <w:szCs w:val="32"/>
          <w:shd w:val="clear" w:fill="FFFFFF"/>
          <w:lang w:val="en-US" w:eastAsia="zh-CN"/>
        </w:rPr>
        <w:t>由于当年业务需要，增加委托业务费预算</w:t>
      </w:r>
      <w:r>
        <w:rPr>
          <w:rFonts w:hint="eastAsia" w:ascii="仿宋_GB2312" w:hAnsi="仿宋_GB2312" w:eastAsia="仿宋_GB2312" w:cs="仿宋_GB2312"/>
          <w:i w:val="0"/>
          <w:iCs w:val="0"/>
          <w:caps w:val="0"/>
          <w:color w:val="auto"/>
          <w:spacing w:val="0"/>
          <w:sz w:val="32"/>
          <w:szCs w:val="32"/>
          <w:shd w:val="clear" w:fill="FFFFFF"/>
        </w:rPr>
        <w:t>。主要用于办公及印刷费、邮电费、差旅费、培训费、日常维修费、办公设备购置费、办公用房水电费、劳务费、委托业务费、工会经费、福利费以及其他费用，</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八、政府采购支出情况说明</w:t>
      </w:r>
    </w:p>
    <w:p w14:paraId="0318CDC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年度我单位政府采购预算计划金额</w:t>
      </w:r>
      <w:r>
        <w:rPr>
          <w:rFonts w:hint="eastAsia" w:ascii="仿宋_GB2312" w:hAnsi="仿宋_GB2312" w:eastAsia="仿宋_GB2312" w:cs="仿宋_GB2312"/>
          <w:i w:val="0"/>
          <w:iCs w:val="0"/>
          <w:caps w:val="0"/>
          <w:color w:val="auto"/>
          <w:spacing w:val="0"/>
          <w:sz w:val="32"/>
          <w:szCs w:val="32"/>
          <w:shd w:val="clear" w:fill="FFFFFF"/>
          <w:lang w:val="en-US" w:eastAsia="zh-CN"/>
        </w:rPr>
        <w:t>70</w:t>
      </w:r>
      <w:r>
        <w:rPr>
          <w:rFonts w:hint="eastAsia" w:ascii="仿宋_GB2312" w:hAnsi="仿宋_GB2312" w:eastAsia="仿宋_GB2312" w:cs="仿宋_GB2312"/>
          <w:i w:val="0"/>
          <w:iCs w:val="0"/>
          <w:caps w:val="0"/>
          <w:color w:val="auto"/>
          <w:spacing w:val="0"/>
          <w:sz w:val="32"/>
          <w:szCs w:val="32"/>
          <w:shd w:val="clear" w:fill="FFFFFF"/>
        </w:rPr>
        <w:t>.2万元，其中一般公共预算7</w:t>
      </w:r>
      <w:r>
        <w:rPr>
          <w:rFonts w:hint="eastAsia" w:ascii="仿宋_GB2312" w:hAnsi="仿宋_GB2312" w:eastAsia="仿宋_GB2312" w:cs="仿宋_GB2312"/>
          <w:i w:val="0"/>
          <w:iCs w:val="0"/>
          <w:caps w:val="0"/>
          <w:color w:val="auto"/>
          <w:spacing w:val="0"/>
          <w:sz w:val="32"/>
          <w:szCs w:val="32"/>
          <w:shd w:val="clear" w:fill="FFFFFF"/>
          <w:lang w:val="en-US" w:eastAsia="zh-CN"/>
        </w:rPr>
        <w:t>0</w:t>
      </w:r>
      <w:r>
        <w:rPr>
          <w:rFonts w:hint="eastAsia" w:ascii="仿宋_GB2312" w:hAnsi="仿宋_GB2312" w:eastAsia="仿宋_GB2312" w:cs="仿宋_GB2312"/>
          <w:i w:val="0"/>
          <w:iCs w:val="0"/>
          <w:caps w:val="0"/>
          <w:color w:val="auto"/>
          <w:spacing w:val="0"/>
          <w:sz w:val="32"/>
          <w:szCs w:val="32"/>
          <w:shd w:val="clear" w:fill="FFFFFF"/>
        </w:rPr>
        <w:t>.2万元，其他资金0万元；主要用于购买货物47.2万元，工程3万元，服务20万元</w:t>
      </w:r>
      <w:r>
        <w:rPr>
          <w:rFonts w:hint="eastAsia" w:ascii="仿宋_GB2312" w:hAnsi="仿宋_GB2312" w:eastAsia="仿宋_GB2312" w:cs="仿宋_GB2312"/>
          <w:i w:val="0"/>
          <w:iCs w:val="0"/>
          <w:caps w:val="0"/>
          <w:color w:val="auto"/>
          <w:spacing w:val="0"/>
          <w:sz w:val="32"/>
          <w:szCs w:val="32"/>
          <w:shd w:val="clear" w:fill="FFFFFF"/>
          <w:lang w:eastAsia="zh-CN"/>
        </w:rPr>
        <w:t>。</w:t>
      </w:r>
    </w:p>
    <w:p w14:paraId="3A7102F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年度我单位政府实际采购金额 </w:t>
      </w:r>
      <w:r>
        <w:rPr>
          <w:rFonts w:hint="eastAsia" w:ascii="仿宋_GB2312" w:hAnsi="仿宋_GB2312" w:eastAsia="仿宋_GB2312" w:cs="仿宋_GB2312"/>
          <w:i w:val="0"/>
          <w:iCs w:val="0"/>
          <w:caps w:val="0"/>
          <w:color w:val="000000"/>
          <w:spacing w:val="0"/>
          <w:sz w:val="32"/>
          <w:szCs w:val="32"/>
          <w:shd w:val="clear" w:fill="FFFFFF"/>
          <w:lang w:val="en-US" w:eastAsia="zh-CN"/>
        </w:rPr>
        <w:t>47.44</w:t>
      </w:r>
      <w:r>
        <w:rPr>
          <w:rFonts w:hint="eastAsia" w:ascii="仿宋_GB2312" w:hAnsi="仿宋_GB2312" w:eastAsia="仿宋_GB2312" w:cs="仿宋_GB2312"/>
          <w:i w:val="0"/>
          <w:iCs w:val="0"/>
          <w:caps w:val="0"/>
          <w:color w:val="000000"/>
          <w:spacing w:val="0"/>
          <w:sz w:val="32"/>
          <w:szCs w:val="32"/>
          <w:shd w:val="clear" w:fill="FFFFFF"/>
        </w:rPr>
        <w:t xml:space="preserve"> 万元，其中一般公共预算</w:t>
      </w:r>
      <w:r>
        <w:rPr>
          <w:rFonts w:hint="eastAsia" w:ascii="仿宋_GB2312" w:hAnsi="仿宋_GB2312" w:eastAsia="仿宋_GB2312" w:cs="仿宋_GB2312"/>
          <w:i w:val="0"/>
          <w:iCs w:val="0"/>
          <w:caps w:val="0"/>
          <w:color w:val="000000"/>
          <w:spacing w:val="0"/>
          <w:sz w:val="32"/>
          <w:szCs w:val="32"/>
          <w:shd w:val="clear" w:fill="FFFFFF"/>
          <w:lang w:val="en-US" w:eastAsia="zh-CN"/>
        </w:rPr>
        <w:t>47.44</w:t>
      </w:r>
      <w:r>
        <w:rPr>
          <w:rFonts w:hint="eastAsia" w:ascii="仿宋_GB2312" w:hAnsi="仿宋_GB2312" w:eastAsia="仿宋_GB2312" w:cs="仿宋_GB2312"/>
          <w:i w:val="0"/>
          <w:iCs w:val="0"/>
          <w:caps w:val="0"/>
          <w:color w:val="000000"/>
          <w:spacing w:val="0"/>
          <w:sz w:val="32"/>
          <w:szCs w:val="32"/>
          <w:shd w:val="clear" w:fill="FFFFFF"/>
        </w:rPr>
        <w:t>万元，其他资金0万元；主要用于购买货物</w:t>
      </w:r>
      <w:r>
        <w:rPr>
          <w:rFonts w:hint="eastAsia" w:ascii="仿宋_GB2312" w:hAnsi="仿宋_GB2312" w:eastAsia="仿宋_GB2312" w:cs="仿宋_GB2312"/>
          <w:i w:val="0"/>
          <w:iCs w:val="0"/>
          <w:caps w:val="0"/>
          <w:color w:val="000000"/>
          <w:spacing w:val="0"/>
          <w:sz w:val="32"/>
          <w:szCs w:val="32"/>
          <w:shd w:val="clear" w:fill="FFFFFF"/>
          <w:lang w:val="en-US" w:eastAsia="zh-CN"/>
        </w:rPr>
        <w:t>0.98</w:t>
      </w:r>
      <w:r>
        <w:rPr>
          <w:rFonts w:hint="eastAsia" w:ascii="仿宋_GB2312" w:hAnsi="仿宋_GB2312" w:eastAsia="仿宋_GB2312" w:cs="仿宋_GB2312"/>
          <w:i w:val="0"/>
          <w:iCs w:val="0"/>
          <w:caps w:val="0"/>
          <w:color w:val="000000"/>
          <w:spacing w:val="0"/>
          <w:sz w:val="32"/>
          <w:szCs w:val="32"/>
          <w:shd w:val="clear" w:fill="FFFFFF"/>
        </w:rPr>
        <w:t>万元，</w:t>
      </w:r>
      <w:r>
        <w:rPr>
          <w:rFonts w:hint="eastAsia" w:ascii="仿宋_GB2312" w:hAnsi="仿宋_GB2312" w:eastAsia="仿宋_GB2312" w:cs="仿宋_GB2312"/>
          <w:i w:val="0"/>
          <w:iCs w:val="0"/>
          <w:caps w:val="0"/>
          <w:color w:val="000000"/>
          <w:spacing w:val="0"/>
          <w:sz w:val="32"/>
          <w:szCs w:val="32"/>
          <w:shd w:val="clear" w:fill="FFFFFF"/>
          <w:lang w:val="en-US" w:eastAsia="zh-CN"/>
        </w:rPr>
        <w:t>工程31.76万元,</w:t>
      </w:r>
      <w:r>
        <w:rPr>
          <w:rFonts w:hint="eastAsia" w:ascii="仿宋_GB2312" w:hAnsi="仿宋_GB2312" w:eastAsia="仿宋_GB2312" w:cs="仿宋_GB2312"/>
          <w:i w:val="0"/>
          <w:iCs w:val="0"/>
          <w:caps w:val="0"/>
          <w:color w:val="000000"/>
          <w:spacing w:val="0"/>
          <w:sz w:val="32"/>
          <w:szCs w:val="32"/>
          <w:shd w:val="clear" w:fill="FFFFFF"/>
        </w:rPr>
        <w:t>服务</w:t>
      </w:r>
      <w:r>
        <w:rPr>
          <w:rFonts w:hint="eastAsia" w:ascii="仿宋_GB2312" w:hAnsi="仿宋_GB2312" w:eastAsia="仿宋_GB2312" w:cs="仿宋_GB2312"/>
          <w:i w:val="0"/>
          <w:iCs w:val="0"/>
          <w:caps w:val="0"/>
          <w:color w:val="000000"/>
          <w:spacing w:val="0"/>
          <w:sz w:val="32"/>
          <w:szCs w:val="32"/>
          <w:shd w:val="clear" w:fill="FFFFFF"/>
          <w:lang w:val="en-US" w:eastAsia="zh-CN"/>
        </w:rPr>
        <w:t>14.7</w:t>
      </w:r>
      <w:r>
        <w:rPr>
          <w:rFonts w:hint="eastAsia" w:ascii="仿宋_GB2312" w:hAnsi="仿宋_GB2312" w:eastAsia="仿宋_GB2312" w:cs="仿宋_GB2312"/>
          <w:i w:val="0"/>
          <w:iCs w:val="0"/>
          <w:caps w:val="0"/>
          <w:color w:val="000000"/>
          <w:spacing w:val="0"/>
          <w:sz w:val="32"/>
          <w:szCs w:val="32"/>
          <w:shd w:val="clear" w:fill="FFFFFF"/>
        </w:rPr>
        <w:t>万元</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6FAD57E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政府采购支出总额比2020年度15.27万元增加32.17万元，增幅较大，主要原因是2021年档案室建设及国资维修维护相关工程和服务增加。与当年预算相比减少了22.76万元，主要原因是购买货物减少。</w:t>
      </w:r>
    </w:p>
    <w:p w14:paraId="6A42837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九、国有资产占用情况</w:t>
      </w:r>
    </w:p>
    <w:p w14:paraId="42D5B2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8"/>
          <w:sz w:val="32"/>
          <w:szCs w:val="32"/>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2021年度我单位共占有车辆数0台，其中：一般公务用0台，一般执法执勤车辆0台；单价50万元以上通用设备0台；单价100万元以上专用设备0台。其他固定资产（不包含房屋）68.38万元。</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br w:type="textWrapping"/>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十、其他情况</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我单位</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年无举借政府债务、无扶贫专项资金、无政府性基金预算收支、无财政专项支出、无专项转移支付</w:t>
      </w:r>
      <w:r>
        <w:rPr>
          <w:rFonts w:hint="eastAsia" w:ascii="仿宋_GB2312" w:hAnsi="仿宋_GB2312" w:eastAsia="仿宋_GB2312" w:cs="仿宋_GB2312"/>
          <w:i w:val="0"/>
          <w:iCs w:val="0"/>
          <w:caps w:val="0"/>
          <w:color w:val="auto"/>
          <w:spacing w:val="0"/>
          <w:sz w:val="32"/>
          <w:szCs w:val="32"/>
          <w:shd w:val="clear" w:fill="FFFFFF"/>
          <w:lang w:val="en-US" w:eastAsia="zh-CN"/>
        </w:rPr>
        <w:t>情况</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十一、2021年度预算绩效情况的说明</w:t>
      </w:r>
    </w:p>
    <w:p w14:paraId="5DAADB64">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firstLine="420" w:firstLineChars="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预算绩效管理工作开展情况</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根据预算绩效管理要求，我单位组织对2021年度一般公共预算项目支出全面开展绩效自评，本单位项目4个（50万元以上的重点绩效项目1个），分别为：国资管理、清查专项经费100万元、档案室建设经费30万元、票据、软件及网络经费24.46万元、预算绩效管理专项经费7万元等四个项目。资金161.46万元（其中：一般公共预算拨款161.46万元，其他资金0万元，上年结余结转0万元），占一般公共预算项目支出总额的100%。</w:t>
      </w:r>
    </w:p>
    <w:p w14:paraId="43253D96">
      <w:pPr>
        <w:keepNext w:val="0"/>
        <w:keepLines w:val="0"/>
        <w:pageBreakBefore w:val="0"/>
        <w:widowControl/>
        <w:numPr>
          <w:ilvl w:val="0"/>
          <w:numId w:val="0"/>
        </w:numPr>
        <w:kinsoku/>
        <w:wordWrap/>
        <w:overflowPunct/>
        <w:topLinePunct w:val="0"/>
        <w:autoSpaceDE/>
        <w:autoSpaceDN/>
        <w:bidi w:val="0"/>
        <w:adjustRightInd w:val="0"/>
        <w:snapToGrid w:val="0"/>
        <w:spacing w:after="200"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我单位组织开展了部门整体支出绩效评价工作，我局通过自评，得出我局2021年度部门整体支出绩效评价为优。从评价情况来看，2021年各项目绩效目标基本完成，项目支出绩效自评结果较好，绩效管理水平不断提高，绩效指标体系建设逐渐丰富和完善。</w:t>
      </w:r>
    </w:p>
    <w:p w14:paraId="3A0BC130">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部门决算中项目绩效自评结果</w:t>
      </w:r>
    </w:p>
    <w:p w14:paraId="2056F3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项目全年预算数为161.46万元，其中：一般公共预算财政拨款161.46万元。执行数为153.13万元，完成预算94.8%。主要产出和效益如下：</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1.保质保量</w:t>
      </w:r>
      <w:r>
        <w:rPr>
          <w:rFonts w:hint="eastAsia" w:ascii="仿宋_GB2312" w:hAnsi="仿宋_GB2312" w:eastAsia="仿宋_GB2312" w:cs="仿宋_GB2312"/>
          <w:b w:val="0"/>
          <w:bCs w:val="0"/>
          <w:i w:val="0"/>
          <w:iCs w:val="0"/>
          <w:caps w:val="0"/>
          <w:color w:val="auto"/>
          <w:spacing w:val="0"/>
          <w:sz w:val="32"/>
          <w:szCs w:val="32"/>
          <w:shd w:val="clear" w:fill="FFFFFF"/>
        </w:rPr>
        <w:t>完成本年度资产清查、评估工作，保障下陆区国有资产不流失等</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14:paraId="06C4159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rPr>
        <w:t>完成档案室建设工程</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提高档案利用率，促进工作开展。</w:t>
      </w:r>
    </w:p>
    <w:p w14:paraId="206C25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rPr>
        <w:t>支付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票据、软件等</w:t>
      </w:r>
      <w:r>
        <w:rPr>
          <w:rFonts w:hint="eastAsia" w:ascii="仿宋_GB2312" w:hAnsi="仿宋_GB2312" w:eastAsia="仿宋_GB2312" w:cs="仿宋_GB2312"/>
          <w:b w:val="0"/>
          <w:bCs w:val="0"/>
          <w:i w:val="0"/>
          <w:iCs w:val="0"/>
          <w:caps w:val="0"/>
          <w:color w:val="auto"/>
          <w:spacing w:val="0"/>
          <w:sz w:val="32"/>
          <w:szCs w:val="32"/>
          <w:shd w:val="clear" w:fill="FFFFFF"/>
        </w:rPr>
        <w:t>相关费用，保障全区财政相关软件的维护运行</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14:paraId="1B6154F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4.进一步完善全区预算绩效管理工作，通过预算绩效结果，合理分配资金，提高经济效益。</w:t>
      </w:r>
    </w:p>
    <w:p w14:paraId="221C951D">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绩效评级结果应用情况</w:t>
      </w:r>
    </w:p>
    <w:p w14:paraId="778EFA1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部门绩效评价结果应用情况</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br w:type="textWrapping"/>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加强绩效评价结果应用，我单位将绩效自评结果作为以后年度该项目预算编制和安排财政资金的重要参考依据；将绩效自评结果按照要求向社会公开，自觉接受社会监督。</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2.部门绩效评价结果拟应用情况</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br w:type="textWrapping"/>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我单位将绩效自评结果与202</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年预算编制相结合，对实施效果好的项目优先保障项目资金预算</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。根据2021年绩效评级结果及2022年国资管理、清查工作计划安排，该项目2022年预算安排拟增加至150万元，我局绩效评价结果在预算编审环节得到具体应用。</w:t>
      </w:r>
    </w:p>
    <w:p w14:paraId="74B7CA8C">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7C901AD3">
      <w:pPr>
        <w:keepNext w:val="0"/>
        <w:keepLines w:val="0"/>
        <w:pageBreakBefore w:val="0"/>
        <w:kinsoku/>
        <w:wordWrap/>
        <w:overflowPunct/>
        <w:topLinePunct w:val="0"/>
        <w:autoSpaceDE/>
        <w:autoSpaceDN/>
        <w:bidi w:val="0"/>
        <w:adjustRightInd/>
        <w:snapToGrid/>
        <w:spacing w:before="105" w:line="560" w:lineRule="exact"/>
        <w:jc w:val="both"/>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附：4个项目绩效评价自评表及整体支出绩效自评表</w:t>
      </w:r>
    </w:p>
    <w:p w14:paraId="2FEEB632">
      <w:pPr>
        <w:spacing w:before="105" w:line="219" w:lineRule="auto"/>
        <w:jc w:val="both"/>
        <w:rPr>
          <w:rFonts w:hint="eastAsia" w:ascii="宋体" w:hAnsi="宋体" w:eastAsia="宋体" w:cs="宋体"/>
          <w:b/>
          <w:bCs/>
          <w:sz w:val="32"/>
          <w:szCs w:val="32"/>
          <w:shd w:val="clear" w:color="auto" w:fill="auto"/>
          <w:lang w:val="en-US" w:eastAsia="zh-CN"/>
        </w:rPr>
      </w:pPr>
    </w:p>
    <w:p w14:paraId="53737D7F">
      <w:pPr>
        <w:spacing w:before="105" w:line="219" w:lineRule="auto"/>
        <w:jc w:val="center"/>
        <w:rPr>
          <w:rFonts w:ascii="宋体" w:hAnsi="宋体" w:eastAsia="宋体" w:cs="宋体"/>
          <w:sz w:val="32"/>
          <w:szCs w:val="32"/>
          <w:shd w:val="clear" w:color="auto" w:fill="auto"/>
        </w:rPr>
      </w:pPr>
      <w:r>
        <w:rPr>
          <w:rFonts w:hint="eastAsia" w:ascii="宋体" w:hAnsi="宋体" w:eastAsia="宋体" w:cs="宋体"/>
          <w:b/>
          <w:bCs/>
          <w:sz w:val="32"/>
          <w:szCs w:val="32"/>
          <w:shd w:val="clear" w:color="auto" w:fill="auto"/>
          <w:lang w:val="en-US" w:eastAsia="zh-CN"/>
        </w:rPr>
        <w:t>2021</w:t>
      </w:r>
      <w:r>
        <w:rPr>
          <w:rFonts w:ascii="宋体" w:hAnsi="宋体" w:eastAsia="宋体" w:cs="宋体"/>
          <w:b/>
          <w:bCs/>
          <w:spacing w:val="17"/>
          <w:sz w:val="32"/>
          <w:szCs w:val="32"/>
          <w:shd w:val="clear" w:color="auto" w:fill="auto"/>
        </w:rPr>
        <w:t>年度</w:t>
      </w:r>
      <w:r>
        <w:rPr>
          <w:rFonts w:hint="eastAsia" w:ascii="宋体" w:hAnsi="宋体" w:eastAsia="宋体" w:cs="宋体"/>
          <w:b/>
          <w:bCs/>
          <w:sz w:val="32"/>
          <w:szCs w:val="32"/>
          <w:shd w:val="clear" w:color="auto" w:fill="auto"/>
          <w:lang w:val="en-US" w:eastAsia="zh-CN"/>
        </w:rPr>
        <w:t>国资管理、清查</w:t>
      </w:r>
      <w:r>
        <w:rPr>
          <w:rFonts w:ascii="宋体" w:hAnsi="宋体" w:eastAsia="宋体" w:cs="宋体"/>
          <w:b/>
          <w:bCs/>
          <w:spacing w:val="17"/>
          <w:sz w:val="32"/>
          <w:szCs w:val="32"/>
          <w:shd w:val="clear" w:color="auto" w:fill="auto"/>
        </w:rPr>
        <w:t>项目自评表</w:t>
      </w:r>
    </w:p>
    <w:p w14:paraId="4BBB199B">
      <w:pPr>
        <w:numPr>
          <w:ilvl w:val="0"/>
          <w:numId w:val="0"/>
        </w:numPr>
        <w:jc w:val="both"/>
        <w:rPr>
          <w:rFonts w:hint="eastAsia" w:ascii="楷体" w:hAnsi="楷体" w:eastAsia="楷体" w:cs="楷体"/>
          <w:spacing w:val="3"/>
          <w:position w:val="1"/>
          <w:sz w:val="30"/>
          <w:szCs w:val="30"/>
          <w:lang w:val="en-US" w:eastAsia="zh-CN"/>
        </w:rPr>
      </w:pPr>
      <w:r>
        <w:rPr>
          <w:rFonts w:ascii="楷体" w:hAnsi="楷体" w:eastAsia="楷体" w:cs="楷体"/>
          <w:b/>
          <w:bCs/>
          <w:spacing w:val="13"/>
          <w:position w:val="1"/>
          <w:sz w:val="30"/>
          <w:szCs w:val="30"/>
        </w:rPr>
        <w:t>项目单位(盖章):</w:t>
      </w:r>
      <w:r>
        <w:rPr>
          <w:rFonts w:ascii="楷体" w:hAnsi="楷体" w:eastAsia="楷体" w:cs="楷体"/>
          <w:spacing w:val="3"/>
          <w:position w:val="1"/>
          <w:sz w:val="30"/>
          <w:szCs w:val="30"/>
        </w:rPr>
        <w:t xml:space="preserve">  </w:t>
      </w:r>
      <w:r>
        <w:rPr>
          <w:rFonts w:hint="eastAsia" w:ascii="楷体" w:hAnsi="楷体" w:eastAsia="楷体" w:cs="楷体"/>
          <w:spacing w:val="3"/>
          <w:position w:val="1"/>
          <w:sz w:val="30"/>
          <w:szCs w:val="30"/>
          <w:lang w:val="en-US" w:eastAsia="zh-CN"/>
        </w:rPr>
        <w:t>下陆区财政局</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39014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3C0D2820">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072A4A0B">
            <w:pPr>
              <w:rPr>
                <w:rFonts w:hint="default" w:ascii="Arial" w:eastAsia="宋体"/>
                <w:sz w:val="21"/>
                <w:lang w:val="en-US" w:eastAsia="zh-CN"/>
              </w:rPr>
            </w:pPr>
            <w:r>
              <w:rPr>
                <w:rFonts w:hint="eastAsia" w:ascii="Arial"/>
                <w:sz w:val="21"/>
                <w:lang w:val="en-US" w:eastAsia="zh-CN"/>
              </w:rPr>
              <w:t>国资管理、清查专项经费</w:t>
            </w:r>
          </w:p>
        </w:tc>
      </w:tr>
      <w:tr w14:paraId="42D99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83C8CAA">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3CB807D7">
            <w:pPr>
              <w:rPr>
                <w:rFonts w:ascii="Arial"/>
                <w:sz w:val="21"/>
              </w:rPr>
            </w:pPr>
          </w:p>
        </w:tc>
        <w:tc>
          <w:tcPr>
            <w:tcW w:w="2516" w:type="dxa"/>
            <w:gridSpan w:val="3"/>
            <w:noWrap w:val="0"/>
            <w:vAlign w:val="top"/>
          </w:tcPr>
          <w:p w14:paraId="470EAC50">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0FC3FA00">
            <w:pPr>
              <w:rPr>
                <w:rFonts w:hint="default" w:ascii="Arial" w:eastAsia="宋体"/>
                <w:sz w:val="21"/>
                <w:lang w:val="en-US" w:eastAsia="zh-CN"/>
              </w:rPr>
            </w:pPr>
            <w:r>
              <w:rPr>
                <w:rFonts w:hint="eastAsia" w:ascii="Arial"/>
                <w:sz w:val="21"/>
                <w:lang w:val="en-US" w:eastAsia="zh-CN"/>
              </w:rPr>
              <w:t>下陆区财政局</w:t>
            </w:r>
          </w:p>
        </w:tc>
      </w:tr>
      <w:tr w14:paraId="33794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9AD1E7B">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7D2172D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334B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C44F698">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26DBCA09">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34DB5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E72F0F8">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79BAB7F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37F73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3DE107B">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4D576639">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8E59B25">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693C0A4B">
            <w:pPr>
              <w:rPr>
                <w:rFonts w:ascii="Arial"/>
                <w:sz w:val="21"/>
              </w:rPr>
            </w:pPr>
          </w:p>
        </w:tc>
        <w:tc>
          <w:tcPr>
            <w:tcW w:w="1329" w:type="dxa"/>
            <w:noWrap w:val="0"/>
            <w:vAlign w:val="top"/>
          </w:tcPr>
          <w:p w14:paraId="394F9192">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DA1523A">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F9F0B4F">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8D9E3B5">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10CCD772">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79D3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48BC5DBF">
            <w:pPr>
              <w:rPr>
                <w:rFonts w:ascii="Arial"/>
                <w:sz w:val="21"/>
              </w:rPr>
            </w:pPr>
          </w:p>
        </w:tc>
        <w:tc>
          <w:tcPr>
            <w:tcW w:w="1119" w:type="dxa"/>
            <w:noWrap w:val="0"/>
            <w:vAlign w:val="top"/>
          </w:tcPr>
          <w:p w14:paraId="5E0F075C">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3A22ADA9">
            <w:pPr>
              <w:rPr>
                <w:rFonts w:hint="default" w:ascii="Arial" w:eastAsia="宋体"/>
                <w:sz w:val="21"/>
                <w:lang w:val="en-US" w:eastAsia="zh-CN"/>
              </w:rPr>
            </w:pPr>
            <w:r>
              <w:rPr>
                <w:rFonts w:hint="eastAsia" w:ascii="Arial"/>
                <w:sz w:val="21"/>
                <w:lang w:val="en-US" w:eastAsia="zh-CN"/>
              </w:rPr>
              <w:t>100</w:t>
            </w:r>
          </w:p>
        </w:tc>
        <w:tc>
          <w:tcPr>
            <w:tcW w:w="1318" w:type="dxa"/>
            <w:gridSpan w:val="2"/>
            <w:noWrap w:val="0"/>
            <w:vAlign w:val="top"/>
          </w:tcPr>
          <w:p w14:paraId="24903E9F">
            <w:pPr>
              <w:rPr>
                <w:rFonts w:hint="default" w:ascii="Arial" w:eastAsia="宋体"/>
                <w:sz w:val="21"/>
                <w:lang w:val="en-US" w:eastAsia="zh-CN"/>
              </w:rPr>
            </w:pPr>
            <w:r>
              <w:rPr>
                <w:rFonts w:hint="eastAsia" w:ascii="Arial" w:eastAsia="宋体"/>
                <w:sz w:val="21"/>
                <w:lang w:val="en-US" w:eastAsia="zh-CN"/>
              </w:rPr>
              <w:t>100</w:t>
            </w:r>
          </w:p>
        </w:tc>
        <w:tc>
          <w:tcPr>
            <w:tcW w:w="1458" w:type="dxa"/>
            <w:noWrap w:val="0"/>
            <w:vAlign w:val="top"/>
          </w:tcPr>
          <w:p w14:paraId="0E4DA307">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1F1C9A26">
            <w:pPr>
              <w:rPr>
                <w:rFonts w:hint="default" w:ascii="Arial" w:eastAsia="宋体"/>
                <w:sz w:val="21"/>
                <w:lang w:val="en-US" w:eastAsia="zh-CN"/>
              </w:rPr>
            </w:pPr>
            <w:r>
              <w:rPr>
                <w:rFonts w:hint="eastAsia" w:ascii="Arial"/>
                <w:sz w:val="21"/>
                <w:lang w:val="en-US" w:eastAsia="zh-CN"/>
              </w:rPr>
              <w:t>20</w:t>
            </w:r>
          </w:p>
        </w:tc>
      </w:tr>
      <w:tr w14:paraId="461EE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1FDFA3C3">
            <w:pPr>
              <w:spacing w:line="269" w:lineRule="auto"/>
              <w:rPr>
                <w:rFonts w:ascii="Arial"/>
                <w:sz w:val="21"/>
              </w:rPr>
            </w:pPr>
          </w:p>
          <w:p w14:paraId="6F2A3383">
            <w:pPr>
              <w:spacing w:line="269" w:lineRule="auto"/>
              <w:rPr>
                <w:rFonts w:ascii="Arial"/>
                <w:sz w:val="21"/>
              </w:rPr>
            </w:pPr>
          </w:p>
          <w:p w14:paraId="00C8FB46">
            <w:pPr>
              <w:spacing w:line="269" w:lineRule="auto"/>
              <w:rPr>
                <w:rFonts w:ascii="Arial"/>
                <w:sz w:val="21"/>
              </w:rPr>
            </w:pPr>
          </w:p>
          <w:p w14:paraId="0F1709B8">
            <w:pPr>
              <w:spacing w:line="270" w:lineRule="auto"/>
              <w:rPr>
                <w:rFonts w:ascii="Arial"/>
                <w:sz w:val="21"/>
              </w:rPr>
            </w:pPr>
          </w:p>
          <w:p w14:paraId="58B79215">
            <w:pPr>
              <w:spacing w:line="270" w:lineRule="auto"/>
              <w:rPr>
                <w:rFonts w:ascii="Arial"/>
                <w:sz w:val="21"/>
              </w:rPr>
            </w:pPr>
          </w:p>
          <w:p w14:paraId="6C75CB13">
            <w:pPr>
              <w:spacing w:line="270" w:lineRule="auto"/>
              <w:rPr>
                <w:rFonts w:ascii="Arial"/>
                <w:sz w:val="21"/>
              </w:rPr>
            </w:pPr>
          </w:p>
          <w:p w14:paraId="3F99B335">
            <w:pPr>
              <w:spacing w:line="270" w:lineRule="auto"/>
              <w:rPr>
                <w:rFonts w:ascii="Arial"/>
                <w:sz w:val="21"/>
              </w:rPr>
            </w:pPr>
          </w:p>
          <w:p w14:paraId="25A47ED9">
            <w:pPr>
              <w:jc w:val="center"/>
              <w:rPr>
                <w:b/>
                <w:bCs/>
              </w:rPr>
            </w:pPr>
          </w:p>
          <w:p w14:paraId="2A4A55AE">
            <w:pPr>
              <w:jc w:val="center"/>
              <w:rPr>
                <w:b/>
                <w:bCs/>
              </w:rPr>
            </w:pPr>
            <w:r>
              <w:rPr>
                <w:b/>
                <w:bCs/>
              </w:rPr>
              <w:t>年</w:t>
            </w:r>
          </w:p>
          <w:p w14:paraId="02DCC5C8">
            <w:pPr>
              <w:jc w:val="center"/>
              <w:rPr>
                <w:b/>
                <w:bCs/>
              </w:rPr>
            </w:pPr>
            <w:r>
              <w:rPr>
                <w:b/>
                <w:bCs/>
              </w:rPr>
              <w:t>度</w:t>
            </w:r>
          </w:p>
          <w:p w14:paraId="1FEC862B">
            <w:pPr>
              <w:jc w:val="center"/>
              <w:rPr>
                <w:b/>
                <w:bCs/>
              </w:rPr>
            </w:pPr>
            <w:r>
              <w:rPr>
                <w:b/>
                <w:bCs/>
              </w:rPr>
              <w:t>绩</w:t>
            </w:r>
          </w:p>
          <w:p w14:paraId="401BA1B6">
            <w:pPr>
              <w:jc w:val="center"/>
              <w:rPr>
                <w:b/>
                <w:bCs/>
              </w:rPr>
            </w:pPr>
            <w:r>
              <w:rPr>
                <w:b/>
                <w:bCs/>
              </w:rPr>
              <w:t>效</w:t>
            </w:r>
          </w:p>
          <w:p w14:paraId="63DB062E">
            <w:pPr>
              <w:jc w:val="center"/>
              <w:rPr>
                <w:b/>
                <w:bCs/>
              </w:rPr>
            </w:pPr>
            <w:r>
              <w:rPr>
                <w:b/>
                <w:bCs/>
              </w:rPr>
              <w:t>目</w:t>
            </w:r>
          </w:p>
          <w:p w14:paraId="1429B10B">
            <w:pPr>
              <w:jc w:val="center"/>
              <w:rPr>
                <w:b/>
                <w:bCs/>
              </w:rPr>
            </w:pPr>
            <w:r>
              <w:rPr>
                <w:b/>
                <w:bCs/>
              </w:rPr>
              <w:t>标</w:t>
            </w:r>
          </w:p>
          <w:p w14:paraId="3DC4DD1D">
            <w:pPr>
              <w:jc w:val="center"/>
              <w:rPr>
                <w:b/>
                <w:bCs/>
              </w:rPr>
            </w:pPr>
            <w:r>
              <w:rPr>
                <w:b/>
                <w:bCs/>
              </w:rPr>
              <w:t>1</w:t>
            </w:r>
          </w:p>
          <w:p w14:paraId="41BB18F7">
            <w:pPr>
              <w:jc w:val="center"/>
              <w:rPr>
                <w:rFonts w:ascii="宋体" w:hAnsi="宋体" w:eastAsia="宋体" w:cs="宋体"/>
                <w:sz w:val="22"/>
                <w:szCs w:val="22"/>
              </w:rPr>
            </w:pPr>
            <w:r>
              <w:rPr>
                <w:b/>
                <w:bCs/>
              </w:rPr>
              <w:t>(XX分 )</w:t>
            </w:r>
          </w:p>
        </w:tc>
        <w:tc>
          <w:tcPr>
            <w:tcW w:w="689" w:type="dxa"/>
            <w:noWrap w:val="0"/>
            <w:vAlign w:val="top"/>
          </w:tcPr>
          <w:p w14:paraId="2FEE1B5C">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3781DBF7">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2BBCD3D6">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07F95D37">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451CB3CD">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44F46F05">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FC13E1E">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3F5F6D81">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77D3C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4163E769">
            <w:pPr>
              <w:rPr>
                <w:rFonts w:ascii="Arial"/>
                <w:sz w:val="21"/>
              </w:rPr>
            </w:pPr>
          </w:p>
        </w:tc>
        <w:tc>
          <w:tcPr>
            <w:tcW w:w="689" w:type="dxa"/>
            <w:vMerge w:val="restart"/>
            <w:tcBorders>
              <w:bottom w:val="nil"/>
            </w:tcBorders>
            <w:noWrap w:val="0"/>
            <w:vAlign w:val="top"/>
          </w:tcPr>
          <w:p w14:paraId="0C8011A9">
            <w:pPr>
              <w:rPr>
                <w:b/>
                <w:bCs/>
              </w:rPr>
            </w:pPr>
          </w:p>
          <w:p w14:paraId="7043FEBC">
            <w:pPr>
              <w:rPr>
                <w:b/>
                <w:bCs/>
              </w:rPr>
            </w:pPr>
          </w:p>
          <w:p w14:paraId="3796F810">
            <w:pPr>
              <w:rPr>
                <w:b/>
                <w:bCs/>
              </w:rPr>
            </w:pPr>
          </w:p>
          <w:p w14:paraId="7240B7F1">
            <w:pPr>
              <w:jc w:val="center"/>
              <w:rPr>
                <w:b/>
                <w:bCs/>
              </w:rPr>
            </w:pPr>
            <w:r>
              <w:rPr>
                <w:b/>
                <w:bCs/>
              </w:rPr>
              <w:t>产出</w:t>
            </w:r>
          </w:p>
          <w:p w14:paraId="4B722336">
            <w:pPr>
              <w:jc w:val="center"/>
              <w:rPr>
                <w:rFonts w:hint="eastAsia" w:eastAsia="宋体"/>
                <w:b/>
                <w:bCs/>
                <w:lang w:val="en-US" w:eastAsia="zh-CN"/>
              </w:rPr>
            </w:pPr>
            <w:r>
              <w:rPr>
                <w:rFonts w:hint="eastAsia"/>
                <w:b/>
                <w:bCs/>
                <w:lang w:val="en-US" w:eastAsia="zh-CN"/>
              </w:rPr>
              <w:t>指标</w:t>
            </w:r>
          </w:p>
        </w:tc>
        <w:tc>
          <w:tcPr>
            <w:tcW w:w="1119" w:type="dxa"/>
            <w:noWrap w:val="0"/>
            <w:vAlign w:val="top"/>
          </w:tcPr>
          <w:p w14:paraId="721515EC">
            <w:pPr>
              <w:jc w:val="center"/>
              <w:rPr>
                <w:rFonts w:ascii="Arial"/>
                <w:kern w:val="2"/>
                <w:sz w:val="21"/>
                <w:lang w:val="en-US" w:eastAsia="zh-CN" w:bidi="ar-SA"/>
              </w:rPr>
            </w:pPr>
            <w:r>
              <w:rPr>
                <w:rFonts w:hint="eastAsia" w:ascii="Arial"/>
                <w:sz w:val="21"/>
              </w:rPr>
              <w:t>质量指标</w:t>
            </w:r>
          </w:p>
        </w:tc>
        <w:tc>
          <w:tcPr>
            <w:tcW w:w="2647" w:type="dxa"/>
            <w:gridSpan w:val="3"/>
            <w:noWrap w:val="0"/>
            <w:vAlign w:val="top"/>
          </w:tcPr>
          <w:p w14:paraId="6450ACBF">
            <w:pPr>
              <w:jc w:val="center"/>
              <w:rPr>
                <w:rFonts w:ascii="Arial"/>
                <w:kern w:val="2"/>
                <w:sz w:val="21"/>
                <w:lang w:val="en-US" w:eastAsia="zh-CN" w:bidi="ar-SA"/>
              </w:rPr>
            </w:pPr>
            <w:r>
              <w:rPr>
                <w:rFonts w:hint="eastAsia" w:ascii="Arial"/>
                <w:sz w:val="21"/>
              </w:rPr>
              <w:t>保质保量开展国资管理工作</w:t>
            </w:r>
          </w:p>
        </w:tc>
        <w:tc>
          <w:tcPr>
            <w:tcW w:w="1458" w:type="dxa"/>
            <w:noWrap w:val="0"/>
            <w:vAlign w:val="top"/>
          </w:tcPr>
          <w:p w14:paraId="08D857E9">
            <w:pPr>
              <w:jc w:val="center"/>
              <w:rPr>
                <w:rFonts w:ascii="Arial"/>
                <w:kern w:val="2"/>
                <w:sz w:val="21"/>
                <w:lang w:val="en-US" w:eastAsia="zh-CN" w:bidi="ar-SA"/>
              </w:rPr>
            </w:pPr>
            <w:r>
              <w:rPr>
                <w:rFonts w:hint="eastAsia" w:ascii="Arial"/>
                <w:sz w:val="21"/>
              </w:rPr>
              <w:t>保质保量</w:t>
            </w:r>
          </w:p>
        </w:tc>
        <w:tc>
          <w:tcPr>
            <w:tcW w:w="1318" w:type="dxa"/>
            <w:gridSpan w:val="2"/>
            <w:noWrap w:val="0"/>
            <w:vAlign w:val="top"/>
          </w:tcPr>
          <w:p w14:paraId="4B2733B1">
            <w:pPr>
              <w:jc w:val="center"/>
              <w:rPr>
                <w:rFonts w:ascii="Arial"/>
                <w:kern w:val="2"/>
                <w:sz w:val="21"/>
                <w:lang w:val="en-US" w:eastAsia="zh-CN" w:bidi="ar-SA"/>
              </w:rPr>
            </w:pPr>
            <w:r>
              <w:rPr>
                <w:rFonts w:hint="eastAsia" w:ascii="Arial"/>
                <w:sz w:val="21"/>
              </w:rPr>
              <w:t>保质保量</w:t>
            </w:r>
          </w:p>
        </w:tc>
        <w:tc>
          <w:tcPr>
            <w:tcW w:w="884" w:type="dxa"/>
            <w:noWrap w:val="0"/>
            <w:vAlign w:val="top"/>
          </w:tcPr>
          <w:p w14:paraId="2E365D22">
            <w:pPr>
              <w:jc w:val="center"/>
              <w:rPr>
                <w:rFonts w:hint="default" w:ascii="Arial" w:eastAsia="宋体"/>
                <w:kern w:val="2"/>
                <w:sz w:val="21"/>
                <w:lang w:val="en-US" w:eastAsia="zh-CN" w:bidi="ar-SA"/>
              </w:rPr>
            </w:pPr>
            <w:r>
              <w:rPr>
                <w:rFonts w:hint="eastAsia" w:ascii="Arial"/>
                <w:sz w:val="21"/>
                <w:lang w:val="en-US" w:eastAsia="zh-CN"/>
              </w:rPr>
              <w:t>20</w:t>
            </w:r>
          </w:p>
        </w:tc>
      </w:tr>
      <w:tr w14:paraId="79778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8C7D61E">
            <w:pPr>
              <w:rPr>
                <w:rFonts w:ascii="Arial"/>
                <w:sz w:val="21"/>
              </w:rPr>
            </w:pPr>
          </w:p>
        </w:tc>
        <w:tc>
          <w:tcPr>
            <w:tcW w:w="689" w:type="dxa"/>
            <w:vMerge w:val="continue"/>
            <w:tcBorders>
              <w:top w:val="nil"/>
              <w:bottom w:val="nil"/>
            </w:tcBorders>
            <w:noWrap w:val="0"/>
            <w:vAlign w:val="top"/>
          </w:tcPr>
          <w:p w14:paraId="62BDDC2A">
            <w:pPr>
              <w:rPr>
                <w:b/>
                <w:bCs/>
              </w:rPr>
            </w:pPr>
          </w:p>
        </w:tc>
        <w:tc>
          <w:tcPr>
            <w:tcW w:w="1119" w:type="dxa"/>
            <w:noWrap w:val="0"/>
            <w:vAlign w:val="top"/>
          </w:tcPr>
          <w:p w14:paraId="3C830428">
            <w:pPr>
              <w:jc w:val="center"/>
              <w:rPr>
                <w:rFonts w:ascii="Arial"/>
                <w:sz w:val="21"/>
              </w:rPr>
            </w:pPr>
          </w:p>
        </w:tc>
        <w:tc>
          <w:tcPr>
            <w:tcW w:w="2647" w:type="dxa"/>
            <w:gridSpan w:val="3"/>
            <w:noWrap w:val="0"/>
            <w:vAlign w:val="top"/>
          </w:tcPr>
          <w:p w14:paraId="591D5506">
            <w:pPr>
              <w:jc w:val="center"/>
              <w:rPr>
                <w:rFonts w:ascii="Arial"/>
                <w:sz w:val="21"/>
              </w:rPr>
            </w:pPr>
          </w:p>
        </w:tc>
        <w:tc>
          <w:tcPr>
            <w:tcW w:w="1458" w:type="dxa"/>
            <w:noWrap w:val="0"/>
            <w:vAlign w:val="top"/>
          </w:tcPr>
          <w:p w14:paraId="5D41F8CA">
            <w:pPr>
              <w:jc w:val="center"/>
              <w:rPr>
                <w:rFonts w:ascii="Arial"/>
                <w:sz w:val="21"/>
              </w:rPr>
            </w:pPr>
          </w:p>
        </w:tc>
        <w:tc>
          <w:tcPr>
            <w:tcW w:w="1318" w:type="dxa"/>
            <w:gridSpan w:val="2"/>
            <w:noWrap w:val="0"/>
            <w:vAlign w:val="top"/>
          </w:tcPr>
          <w:p w14:paraId="3AFBF08F">
            <w:pPr>
              <w:jc w:val="center"/>
              <w:rPr>
                <w:rFonts w:ascii="Arial"/>
                <w:sz w:val="21"/>
              </w:rPr>
            </w:pPr>
          </w:p>
        </w:tc>
        <w:tc>
          <w:tcPr>
            <w:tcW w:w="884" w:type="dxa"/>
            <w:noWrap w:val="0"/>
            <w:vAlign w:val="top"/>
          </w:tcPr>
          <w:p w14:paraId="6BA70068">
            <w:pPr>
              <w:jc w:val="center"/>
              <w:rPr>
                <w:rFonts w:hint="default" w:ascii="Arial" w:eastAsia="宋体"/>
                <w:sz w:val="21"/>
                <w:lang w:val="en-US" w:eastAsia="zh-CN"/>
              </w:rPr>
            </w:pPr>
          </w:p>
        </w:tc>
      </w:tr>
      <w:tr w14:paraId="49ED8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F0DA564">
            <w:pPr>
              <w:jc w:val="center"/>
              <w:rPr>
                <w:rFonts w:ascii="Arial"/>
                <w:sz w:val="21"/>
              </w:rPr>
            </w:pPr>
          </w:p>
        </w:tc>
        <w:tc>
          <w:tcPr>
            <w:tcW w:w="689" w:type="dxa"/>
            <w:vMerge w:val="continue"/>
            <w:tcBorders>
              <w:top w:val="nil"/>
              <w:bottom w:val="nil"/>
            </w:tcBorders>
            <w:noWrap w:val="0"/>
            <w:vAlign w:val="top"/>
          </w:tcPr>
          <w:p w14:paraId="07B678B0">
            <w:pPr>
              <w:jc w:val="center"/>
              <w:rPr>
                <w:b/>
                <w:bCs/>
              </w:rPr>
            </w:pPr>
          </w:p>
        </w:tc>
        <w:tc>
          <w:tcPr>
            <w:tcW w:w="1119" w:type="dxa"/>
            <w:noWrap w:val="0"/>
            <w:vAlign w:val="top"/>
          </w:tcPr>
          <w:p w14:paraId="58B3582B">
            <w:pPr>
              <w:jc w:val="center"/>
              <w:rPr>
                <w:rFonts w:hint="eastAsia" w:ascii="Arial" w:hAnsi="Calibri" w:eastAsia="宋体" w:cs="Times New Roman"/>
                <w:sz w:val="21"/>
              </w:rPr>
            </w:pPr>
          </w:p>
        </w:tc>
        <w:tc>
          <w:tcPr>
            <w:tcW w:w="2647" w:type="dxa"/>
            <w:gridSpan w:val="3"/>
            <w:noWrap w:val="0"/>
            <w:vAlign w:val="top"/>
          </w:tcPr>
          <w:p w14:paraId="1D9F601A">
            <w:pPr>
              <w:jc w:val="center"/>
              <w:rPr>
                <w:rFonts w:hint="eastAsia" w:ascii="Arial" w:hAnsi="Calibri" w:eastAsia="宋体" w:cs="Times New Roman"/>
                <w:sz w:val="21"/>
              </w:rPr>
            </w:pPr>
          </w:p>
        </w:tc>
        <w:tc>
          <w:tcPr>
            <w:tcW w:w="1458" w:type="dxa"/>
            <w:noWrap w:val="0"/>
            <w:vAlign w:val="top"/>
          </w:tcPr>
          <w:p w14:paraId="15E392FD">
            <w:pPr>
              <w:jc w:val="center"/>
              <w:rPr>
                <w:rFonts w:ascii="Arial"/>
                <w:sz w:val="21"/>
              </w:rPr>
            </w:pPr>
          </w:p>
        </w:tc>
        <w:tc>
          <w:tcPr>
            <w:tcW w:w="1318" w:type="dxa"/>
            <w:gridSpan w:val="2"/>
            <w:noWrap w:val="0"/>
            <w:vAlign w:val="top"/>
          </w:tcPr>
          <w:p w14:paraId="3A880144">
            <w:pPr>
              <w:jc w:val="center"/>
              <w:rPr>
                <w:rFonts w:ascii="Arial"/>
                <w:sz w:val="21"/>
              </w:rPr>
            </w:pPr>
          </w:p>
        </w:tc>
        <w:tc>
          <w:tcPr>
            <w:tcW w:w="884" w:type="dxa"/>
            <w:noWrap w:val="0"/>
            <w:vAlign w:val="top"/>
          </w:tcPr>
          <w:p w14:paraId="62429B2A">
            <w:pPr>
              <w:jc w:val="center"/>
              <w:rPr>
                <w:rFonts w:hint="default" w:ascii="Arial" w:eastAsia="宋体"/>
                <w:sz w:val="21"/>
                <w:lang w:val="en-US" w:eastAsia="zh-CN"/>
              </w:rPr>
            </w:pPr>
          </w:p>
        </w:tc>
      </w:tr>
      <w:tr w14:paraId="6FA88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F67EAA1">
            <w:pPr>
              <w:jc w:val="center"/>
              <w:rPr>
                <w:rFonts w:ascii="Arial"/>
                <w:sz w:val="21"/>
              </w:rPr>
            </w:pPr>
          </w:p>
        </w:tc>
        <w:tc>
          <w:tcPr>
            <w:tcW w:w="689" w:type="dxa"/>
            <w:vMerge w:val="continue"/>
            <w:tcBorders>
              <w:top w:val="nil"/>
            </w:tcBorders>
            <w:noWrap w:val="0"/>
            <w:vAlign w:val="top"/>
          </w:tcPr>
          <w:p w14:paraId="30959925">
            <w:pPr>
              <w:jc w:val="center"/>
              <w:rPr>
                <w:b/>
                <w:bCs/>
              </w:rPr>
            </w:pPr>
          </w:p>
        </w:tc>
        <w:tc>
          <w:tcPr>
            <w:tcW w:w="1119" w:type="dxa"/>
            <w:noWrap w:val="0"/>
            <w:vAlign w:val="top"/>
          </w:tcPr>
          <w:p w14:paraId="5CC03294">
            <w:pPr>
              <w:spacing w:before="176" w:line="343" w:lineRule="exact"/>
              <w:ind w:left="331"/>
              <w:jc w:val="center"/>
              <w:rPr>
                <w:rFonts w:ascii="宋体" w:hAnsi="宋体" w:eastAsia="宋体" w:cs="宋体"/>
                <w:sz w:val="21"/>
                <w:szCs w:val="21"/>
              </w:rPr>
            </w:pPr>
            <w:r>
              <w:rPr>
                <w:rFonts w:ascii="宋体" w:hAnsi="宋体" w:eastAsia="宋体" w:cs="宋体"/>
                <w:spacing w:val="-6"/>
                <w:position w:val="2"/>
                <w:sz w:val="21"/>
                <w:szCs w:val="21"/>
              </w:rPr>
              <w:t>……</w:t>
            </w:r>
          </w:p>
        </w:tc>
        <w:tc>
          <w:tcPr>
            <w:tcW w:w="2647" w:type="dxa"/>
            <w:gridSpan w:val="3"/>
            <w:noWrap w:val="0"/>
            <w:vAlign w:val="top"/>
          </w:tcPr>
          <w:p w14:paraId="782755B3">
            <w:pPr>
              <w:jc w:val="center"/>
              <w:rPr>
                <w:rFonts w:ascii="Arial"/>
                <w:sz w:val="21"/>
                <w:szCs w:val="21"/>
              </w:rPr>
            </w:pPr>
          </w:p>
        </w:tc>
        <w:tc>
          <w:tcPr>
            <w:tcW w:w="1458" w:type="dxa"/>
            <w:noWrap w:val="0"/>
            <w:vAlign w:val="top"/>
          </w:tcPr>
          <w:p w14:paraId="1FE11C35">
            <w:pPr>
              <w:jc w:val="center"/>
              <w:rPr>
                <w:rFonts w:ascii="Arial"/>
                <w:sz w:val="21"/>
              </w:rPr>
            </w:pPr>
          </w:p>
        </w:tc>
        <w:tc>
          <w:tcPr>
            <w:tcW w:w="1318" w:type="dxa"/>
            <w:gridSpan w:val="2"/>
            <w:noWrap w:val="0"/>
            <w:vAlign w:val="top"/>
          </w:tcPr>
          <w:p w14:paraId="47E41494">
            <w:pPr>
              <w:jc w:val="center"/>
              <w:rPr>
                <w:rFonts w:ascii="Arial"/>
                <w:sz w:val="21"/>
              </w:rPr>
            </w:pPr>
          </w:p>
        </w:tc>
        <w:tc>
          <w:tcPr>
            <w:tcW w:w="884" w:type="dxa"/>
            <w:noWrap w:val="0"/>
            <w:vAlign w:val="top"/>
          </w:tcPr>
          <w:p w14:paraId="41C5FB6C">
            <w:pPr>
              <w:jc w:val="center"/>
              <w:rPr>
                <w:rFonts w:ascii="Arial"/>
                <w:sz w:val="21"/>
              </w:rPr>
            </w:pPr>
          </w:p>
        </w:tc>
      </w:tr>
      <w:tr w14:paraId="04253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FB88B1D">
            <w:pPr>
              <w:jc w:val="center"/>
              <w:rPr>
                <w:rFonts w:ascii="Arial"/>
                <w:sz w:val="21"/>
              </w:rPr>
            </w:pPr>
          </w:p>
        </w:tc>
        <w:tc>
          <w:tcPr>
            <w:tcW w:w="689" w:type="dxa"/>
            <w:vMerge w:val="restart"/>
            <w:tcBorders>
              <w:bottom w:val="nil"/>
            </w:tcBorders>
            <w:noWrap w:val="0"/>
            <w:vAlign w:val="top"/>
          </w:tcPr>
          <w:p w14:paraId="622461D5">
            <w:pPr>
              <w:jc w:val="center"/>
              <w:rPr>
                <w:rFonts w:ascii="Calibri" w:hAnsi="Calibri" w:eastAsia="宋体" w:cs="Times New Roman"/>
                <w:b/>
                <w:bCs/>
              </w:rPr>
            </w:pPr>
          </w:p>
          <w:p w14:paraId="3B7971E0">
            <w:pPr>
              <w:jc w:val="center"/>
              <w:rPr>
                <w:rFonts w:ascii="Calibri" w:hAnsi="Calibri" w:eastAsia="宋体" w:cs="Times New Roman"/>
                <w:b/>
                <w:bCs/>
              </w:rPr>
            </w:pPr>
          </w:p>
          <w:p w14:paraId="538671B1">
            <w:pPr>
              <w:jc w:val="center"/>
              <w:rPr>
                <w:rFonts w:ascii="Calibri" w:hAnsi="Calibri" w:eastAsia="宋体" w:cs="Times New Roman"/>
                <w:b/>
                <w:bCs/>
              </w:rPr>
            </w:pPr>
          </w:p>
          <w:p w14:paraId="2AE3238D">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top"/>
          </w:tcPr>
          <w:p w14:paraId="3EF92552">
            <w:pPr>
              <w:jc w:val="center"/>
              <w:rPr>
                <w:rFonts w:hint="eastAsia" w:ascii="Arial" w:hAnsi="Calibri" w:eastAsia="宋体" w:cs="Times New Roman"/>
                <w:sz w:val="21"/>
              </w:rPr>
            </w:pPr>
            <w:r>
              <w:rPr>
                <w:rFonts w:hint="eastAsia" w:ascii="Arial" w:hAnsi="Calibri" w:eastAsia="宋体" w:cs="Times New Roman"/>
                <w:sz w:val="21"/>
              </w:rPr>
              <w:t>经济效益指标</w:t>
            </w:r>
          </w:p>
        </w:tc>
        <w:tc>
          <w:tcPr>
            <w:tcW w:w="2647" w:type="dxa"/>
            <w:gridSpan w:val="3"/>
            <w:noWrap w:val="0"/>
            <w:vAlign w:val="top"/>
          </w:tcPr>
          <w:p w14:paraId="06E2F06D">
            <w:pPr>
              <w:jc w:val="center"/>
              <w:rPr>
                <w:rFonts w:hint="eastAsia" w:ascii="Arial" w:hAnsi="Calibri" w:eastAsia="宋体" w:cs="Times New Roman"/>
                <w:sz w:val="21"/>
              </w:rPr>
            </w:pPr>
            <w:r>
              <w:rPr>
                <w:rFonts w:hint="eastAsia" w:ascii="Arial" w:hAnsi="Calibri" w:eastAsia="宋体" w:cs="Times New Roman"/>
                <w:sz w:val="21"/>
              </w:rPr>
              <w:t>进行国有资产摸底，保障国有资产不流失</w:t>
            </w:r>
          </w:p>
        </w:tc>
        <w:tc>
          <w:tcPr>
            <w:tcW w:w="1458" w:type="dxa"/>
            <w:noWrap w:val="0"/>
            <w:vAlign w:val="top"/>
          </w:tcPr>
          <w:p w14:paraId="04AB237A">
            <w:pPr>
              <w:jc w:val="center"/>
              <w:rPr>
                <w:rFonts w:ascii="Arial"/>
                <w:kern w:val="2"/>
                <w:sz w:val="21"/>
                <w:lang w:val="en-US" w:eastAsia="zh-CN" w:bidi="ar-SA"/>
              </w:rPr>
            </w:pPr>
            <w:r>
              <w:rPr>
                <w:rFonts w:hint="eastAsia" w:ascii="Arial"/>
                <w:sz w:val="21"/>
              </w:rPr>
              <w:t>100%</w:t>
            </w:r>
          </w:p>
        </w:tc>
        <w:tc>
          <w:tcPr>
            <w:tcW w:w="1318" w:type="dxa"/>
            <w:gridSpan w:val="2"/>
            <w:noWrap w:val="0"/>
            <w:vAlign w:val="top"/>
          </w:tcPr>
          <w:p w14:paraId="3BD85547">
            <w:pPr>
              <w:jc w:val="center"/>
              <w:rPr>
                <w:rFonts w:ascii="Arial"/>
                <w:kern w:val="2"/>
                <w:sz w:val="21"/>
                <w:lang w:val="en-US" w:eastAsia="zh-CN" w:bidi="ar-SA"/>
              </w:rPr>
            </w:pPr>
            <w:r>
              <w:rPr>
                <w:rFonts w:hint="eastAsia" w:ascii="Arial"/>
                <w:sz w:val="21"/>
              </w:rPr>
              <w:t>100%</w:t>
            </w:r>
          </w:p>
        </w:tc>
        <w:tc>
          <w:tcPr>
            <w:tcW w:w="884" w:type="dxa"/>
            <w:noWrap w:val="0"/>
            <w:vAlign w:val="top"/>
          </w:tcPr>
          <w:p w14:paraId="28DEE456">
            <w:pPr>
              <w:jc w:val="center"/>
              <w:rPr>
                <w:rFonts w:hint="default" w:ascii="Arial" w:eastAsia="宋体"/>
                <w:sz w:val="21"/>
                <w:lang w:val="en-US" w:eastAsia="zh-CN"/>
              </w:rPr>
            </w:pPr>
            <w:r>
              <w:rPr>
                <w:rFonts w:hint="eastAsia" w:ascii="Arial"/>
                <w:sz w:val="21"/>
                <w:lang w:val="en-US" w:eastAsia="zh-CN"/>
              </w:rPr>
              <w:t>20</w:t>
            </w:r>
          </w:p>
        </w:tc>
      </w:tr>
      <w:tr w14:paraId="03FA1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AFDB65B">
            <w:pPr>
              <w:rPr>
                <w:rFonts w:ascii="Arial"/>
                <w:sz w:val="21"/>
              </w:rPr>
            </w:pPr>
          </w:p>
        </w:tc>
        <w:tc>
          <w:tcPr>
            <w:tcW w:w="689" w:type="dxa"/>
            <w:vMerge w:val="continue"/>
            <w:tcBorders>
              <w:top w:val="nil"/>
              <w:bottom w:val="nil"/>
            </w:tcBorders>
            <w:noWrap w:val="0"/>
            <w:vAlign w:val="top"/>
          </w:tcPr>
          <w:p w14:paraId="50A8C25D">
            <w:pPr>
              <w:jc w:val="center"/>
              <w:rPr>
                <w:rFonts w:ascii="Calibri" w:hAnsi="Calibri" w:eastAsia="宋体" w:cs="Times New Roman"/>
                <w:b/>
                <w:bCs/>
              </w:rPr>
            </w:pPr>
          </w:p>
        </w:tc>
        <w:tc>
          <w:tcPr>
            <w:tcW w:w="1119" w:type="dxa"/>
            <w:noWrap w:val="0"/>
            <w:vAlign w:val="top"/>
          </w:tcPr>
          <w:p w14:paraId="313350E4">
            <w:pPr>
              <w:spacing w:line="240" w:lineRule="auto"/>
              <w:ind w:left="0"/>
              <w:jc w:val="center"/>
              <w:rPr>
                <w:rFonts w:ascii="宋体" w:hAnsi="宋体" w:eastAsia="宋体" w:cs="宋体"/>
                <w:sz w:val="22"/>
                <w:szCs w:val="22"/>
              </w:rPr>
            </w:pPr>
            <w:r>
              <w:rPr>
                <w:rFonts w:hint="eastAsia" w:ascii="Arial" w:hAnsi="Calibri" w:eastAsia="宋体" w:cs="Times New Roman"/>
                <w:sz w:val="21"/>
              </w:rPr>
              <w:t>经济效益指标</w:t>
            </w:r>
          </w:p>
        </w:tc>
        <w:tc>
          <w:tcPr>
            <w:tcW w:w="2647" w:type="dxa"/>
            <w:gridSpan w:val="3"/>
            <w:noWrap w:val="0"/>
            <w:vAlign w:val="top"/>
          </w:tcPr>
          <w:p w14:paraId="6359C2ED">
            <w:pPr>
              <w:jc w:val="center"/>
              <w:rPr>
                <w:rFonts w:hint="default" w:ascii="Arial" w:eastAsia="宋体"/>
                <w:sz w:val="21"/>
                <w:lang w:val="en-US" w:eastAsia="zh-CN"/>
              </w:rPr>
            </w:pPr>
            <w:r>
              <w:rPr>
                <w:rFonts w:hint="eastAsia" w:ascii="Arial"/>
                <w:sz w:val="21"/>
                <w:lang w:val="en-US" w:eastAsia="zh-CN"/>
              </w:rPr>
              <w:t>进一步完善我区国有资产管理</w:t>
            </w:r>
          </w:p>
        </w:tc>
        <w:tc>
          <w:tcPr>
            <w:tcW w:w="1458" w:type="dxa"/>
            <w:noWrap w:val="0"/>
            <w:vAlign w:val="top"/>
          </w:tcPr>
          <w:p w14:paraId="5FA8E4D3">
            <w:pPr>
              <w:jc w:val="center"/>
              <w:rPr>
                <w:rFonts w:hint="eastAsia" w:ascii="Arial" w:eastAsia="宋体"/>
                <w:sz w:val="21"/>
                <w:lang w:val="en-US" w:eastAsia="zh-CN"/>
              </w:rPr>
            </w:pPr>
            <w:r>
              <w:rPr>
                <w:rFonts w:hint="eastAsia" w:ascii="Arial"/>
                <w:sz w:val="21"/>
                <w:lang w:val="en-US" w:eastAsia="zh-CN"/>
              </w:rPr>
              <w:t>完善</w:t>
            </w:r>
          </w:p>
        </w:tc>
        <w:tc>
          <w:tcPr>
            <w:tcW w:w="1318" w:type="dxa"/>
            <w:gridSpan w:val="2"/>
            <w:noWrap w:val="0"/>
            <w:vAlign w:val="top"/>
          </w:tcPr>
          <w:p w14:paraId="605896B6">
            <w:pPr>
              <w:jc w:val="center"/>
              <w:rPr>
                <w:rFonts w:hint="eastAsia" w:ascii="Arial" w:eastAsia="宋体"/>
                <w:sz w:val="21"/>
                <w:lang w:val="en-US" w:eastAsia="zh-CN"/>
              </w:rPr>
            </w:pPr>
            <w:r>
              <w:rPr>
                <w:rFonts w:hint="eastAsia" w:ascii="Arial"/>
                <w:sz w:val="21"/>
                <w:lang w:val="en-US" w:eastAsia="zh-CN"/>
              </w:rPr>
              <w:t>完善</w:t>
            </w:r>
          </w:p>
        </w:tc>
        <w:tc>
          <w:tcPr>
            <w:tcW w:w="884" w:type="dxa"/>
            <w:noWrap w:val="0"/>
            <w:vAlign w:val="top"/>
          </w:tcPr>
          <w:p w14:paraId="628C3927">
            <w:pPr>
              <w:jc w:val="center"/>
              <w:rPr>
                <w:rFonts w:hint="default" w:ascii="Arial" w:eastAsia="宋体"/>
                <w:sz w:val="21"/>
                <w:lang w:val="en-US" w:eastAsia="zh-CN"/>
              </w:rPr>
            </w:pPr>
            <w:r>
              <w:rPr>
                <w:rFonts w:hint="eastAsia" w:ascii="Arial"/>
                <w:sz w:val="21"/>
                <w:lang w:val="en-US" w:eastAsia="zh-CN"/>
              </w:rPr>
              <w:t>20</w:t>
            </w:r>
          </w:p>
        </w:tc>
      </w:tr>
      <w:tr w14:paraId="2066B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AAAE861">
            <w:pPr>
              <w:rPr>
                <w:rFonts w:ascii="Arial"/>
                <w:sz w:val="21"/>
              </w:rPr>
            </w:pPr>
          </w:p>
        </w:tc>
        <w:tc>
          <w:tcPr>
            <w:tcW w:w="689" w:type="dxa"/>
            <w:vMerge w:val="continue"/>
            <w:tcBorders>
              <w:top w:val="nil"/>
              <w:bottom w:val="nil"/>
            </w:tcBorders>
            <w:noWrap w:val="0"/>
            <w:vAlign w:val="top"/>
          </w:tcPr>
          <w:p w14:paraId="344FB1F5">
            <w:pPr>
              <w:jc w:val="center"/>
              <w:rPr>
                <w:rFonts w:ascii="Calibri" w:hAnsi="Calibri" w:eastAsia="宋体" w:cs="Times New Roman"/>
                <w:b/>
                <w:bCs/>
              </w:rPr>
            </w:pPr>
          </w:p>
        </w:tc>
        <w:tc>
          <w:tcPr>
            <w:tcW w:w="1119" w:type="dxa"/>
            <w:noWrap w:val="0"/>
            <w:vAlign w:val="top"/>
          </w:tcPr>
          <w:p w14:paraId="40A68CDD">
            <w:pPr>
              <w:spacing w:before="178" w:line="340"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692EAA6">
            <w:pPr>
              <w:jc w:val="center"/>
              <w:rPr>
                <w:rFonts w:ascii="Arial"/>
                <w:sz w:val="21"/>
              </w:rPr>
            </w:pPr>
          </w:p>
        </w:tc>
        <w:tc>
          <w:tcPr>
            <w:tcW w:w="1458" w:type="dxa"/>
            <w:noWrap w:val="0"/>
            <w:vAlign w:val="top"/>
          </w:tcPr>
          <w:p w14:paraId="796FD975">
            <w:pPr>
              <w:jc w:val="center"/>
              <w:rPr>
                <w:rFonts w:ascii="Arial"/>
                <w:sz w:val="21"/>
              </w:rPr>
            </w:pPr>
          </w:p>
        </w:tc>
        <w:tc>
          <w:tcPr>
            <w:tcW w:w="1318" w:type="dxa"/>
            <w:gridSpan w:val="2"/>
            <w:noWrap w:val="0"/>
            <w:vAlign w:val="top"/>
          </w:tcPr>
          <w:p w14:paraId="4BB7674E">
            <w:pPr>
              <w:jc w:val="center"/>
              <w:rPr>
                <w:rFonts w:ascii="Arial"/>
                <w:sz w:val="21"/>
              </w:rPr>
            </w:pPr>
          </w:p>
        </w:tc>
        <w:tc>
          <w:tcPr>
            <w:tcW w:w="884" w:type="dxa"/>
            <w:noWrap w:val="0"/>
            <w:vAlign w:val="top"/>
          </w:tcPr>
          <w:p w14:paraId="4E540771">
            <w:pPr>
              <w:jc w:val="center"/>
              <w:rPr>
                <w:rFonts w:ascii="Arial"/>
                <w:sz w:val="21"/>
              </w:rPr>
            </w:pPr>
          </w:p>
        </w:tc>
      </w:tr>
      <w:tr w14:paraId="73A76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A4E1C50">
            <w:pPr>
              <w:rPr>
                <w:rFonts w:ascii="Arial"/>
                <w:sz w:val="21"/>
              </w:rPr>
            </w:pPr>
          </w:p>
        </w:tc>
        <w:tc>
          <w:tcPr>
            <w:tcW w:w="689" w:type="dxa"/>
            <w:vMerge w:val="continue"/>
            <w:tcBorders>
              <w:top w:val="nil"/>
            </w:tcBorders>
            <w:noWrap w:val="0"/>
            <w:vAlign w:val="top"/>
          </w:tcPr>
          <w:p w14:paraId="682A9B1F">
            <w:pPr>
              <w:jc w:val="center"/>
              <w:rPr>
                <w:rFonts w:ascii="Calibri" w:hAnsi="Calibri" w:eastAsia="宋体" w:cs="Times New Roman"/>
                <w:b/>
                <w:bCs/>
              </w:rPr>
            </w:pPr>
          </w:p>
        </w:tc>
        <w:tc>
          <w:tcPr>
            <w:tcW w:w="1119" w:type="dxa"/>
            <w:noWrap w:val="0"/>
            <w:vAlign w:val="top"/>
          </w:tcPr>
          <w:p w14:paraId="4E688E04">
            <w:pPr>
              <w:jc w:val="center"/>
              <w:rPr>
                <w:rFonts w:ascii="Arial"/>
                <w:sz w:val="21"/>
              </w:rPr>
            </w:pPr>
          </w:p>
        </w:tc>
        <w:tc>
          <w:tcPr>
            <w:tcW w:w="2647" w:type="dxa"/>
            <w:gridSpan w:val="3"/>
            <w:noWrap w:val="0"/>
            <w:vAlign w:val="top"/>
          </w:tcPr>
          <w:p w14:paraId="3712A2B1">
            <w:pPr>
              <w:jc w:val="center"/>
              <w:rPr>
                <w:rFonts w:ascii="Arial"/>
                <w:sz w:val="21"/>
              </w:rPr>
            </w:pPr>
          </w:p>
        </w:tc>
        <w:tc>
          <w:tcPr>
            <w:tcW w:w="1458" w:type="dxa"/>
            <w:noWrap w:val="0"/>
            <w:vAlign w:val="top"/>
          </w:tcPr>
          <w:p w14:paraId="2ECA7B6B">
            <w:pPr>
              <w:jc w:val="center"/>
              <w:rPr>
                <w:rFonts w:ascii="Arial"/>
                <w:sz w:val="21"/>
              </w:rPr>
            </w:pPr>
          </w:p>
        </w:tc>
        <w:tc>
          <w:tcPr>
            <w:tcW w:w="1318" w:type="dxa"/>
            <w:gridSpan w:val="2"/>
            <w:noWrap w:val="0"/>
            <w:vAlign w:val="top"/>
          </w:tcPr>
          <w:p w14:paraId="3FFFFB8D">
            <w:pPr>
              <w:jc w:val="center"/>
              <w:rPr>
                <w:rFonts w:ascii="Arial"/>
                <w:sz w:val="21"/>
              </w:rPr>
            </w:pPr>
          </w:p>
        </w:tc>
        <w:tc>
          <w:tcPr>
            <w:tcW w:w="884" w:type="dxa"/>
            <w:noWrap w:val="0"/>
            <w:vAlign w:val="top"/>
          </w:tcPr>
          <w:p w14:paraId="223F7464">
            <w:pPr>
              <w:jc w:val="center"/>
              <w:rPr>
                <w:rFonts w:ascii="Arial"/>
                <w:sz w:val="21"/>
              </w:rPr>
            </w:pPr>
          </w:p>
        </w:tc>
      </w:tr>
      <w:tr w14:paraId="272C5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01EE34D8">
            <w:pPr>
              <w:rPr>
                <w:rFonts w:ascii="Arial"/>
                <w:sz w:val="21"/>
              </w:rPr>
            </w:pPr>
          </w:p>
        </w:tc>
        <w:tc>
          <w:tcPr>
            <w:tcW w:w="689" w:type="dxa"/>
            <w:vMerge w:val="restart"/>
            <w:tcBorders>
              <w:bottom w:val="nil"/>
            </w:tcBorders>
            <w:noWrap w:val="0"/>
            <w:vAlign w:val="top"/>
          </w:tcPr>
          <w:p w14:paraId="2AA077D2">
            <w:pPr>
              <w:jc w:val="center"/>
              <w:rPr>
                <w:rFonts w:ascii="Calibri" w:hAnsi="Calibri" w:eastAsia="宋体" w:cs="Times New Roman"/>
                <w:b/>
                <w:bCs/>
              </w:rPr>
            </w:pPr>
            <w:r>
              <w:rPr>
                <w:rFonts w:ascii="Calibri" w:hAnsi="Calibri" w:eastAsia="宋体" w:cs="Times New Roman"/>
                <w:b/>
                <w:bCs/>
              </w:rPr>
              <w:t>满意</w:t>
            </w:r>
          </w:p>
          <w:p w14:paraId="7A85A183">
            <w:pPr>
              <w:jc w:val="center"/>
              <w:rPr>
                <w:rFonts w:ascii="Calibri" w:hAnsi="Calibri" w:eastAsia="宋体" w:cs="Times New Roman"/>
                <w:b/>
                <w:bCs/>
              </w:rPr>
            </w:pPr>
            <w:r>
              <w:rPr>
                <w:rFonts w:ascii="Calibri" w:hAnsi="Calibri" w:eastAsia="宋体" w:cs="Times New Roman"/>
                <w:b/>
                <w:bCs/>
              </w:rPr>
              <w:t>度指</w:t>
            </w:r>
          </w:p>
          <w:p w14:paraId="268BD6C6">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top"/>
          </w:tcPr>
          <w:p w14:paraId="6822A1EE">
            <w:pPr>
              <w:tabs>
                <w:tab w:val="left" w:pos="202"/>
              </w:tabs>
              <w:spacing w:line="240" w:lineRule="auto"/>
              <w:ind w:left="0"/>
              <w:jc w:val="center"/>
              <w:rPr>
                <w:rFonts w:hint="eastAsia" w:ascii="宋体" w:hAnsi="宋体" w:eastAsia="宋体" w:cs="宋体"/>
                <w:sz w:val="21"/>
                <w:szCs w:val="21"/>
                <w:lang w:val="en-US" w:eastAsia="zh-CN"/>
              </w:rPr>
            </w:pPr>
            <w:r>
              <w:rPr>
                <w:rFonts w:hint="eastAsia" w:ascii="Arial" w:hAnsi="Calibri" w:eastAsia="宋体" w:cs="Times New Roman"/>
                <w:sz w:val="21"/>
                <w:lang w:val="en-US" w:eastAsia="zh-CN"/>
              </w:rPr>
              <w:t>服务对象满意度指标</w:t>
            </w:r>
          </w:p>
        </w:tc>
        <w:tc>
          <w:tcPr>
            <w:tcW w:w="2647" w:type="dxa"/>
            <w:gridSpan w:val="3"/>
            <w:noWrap w:val="0"/>
            <w:vAlign w:val="top"/>
          </w:tcPr>
          <w:p w14:paraId="78A3054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资产使用人满意度</w:t>
            </w:r>
          </w:p>
        </w:tc>
        <w:tc>
          <w:tcPr>
            <w:tcW w:w="1458" w:type="dxa"/>
            <w:noWrap w:val="0"/>
            <w:vAlign w:val="top"/>
          </w:tcPr>
          <w:p w14:paraId="30BFD44E">
            <w:pPr>
              <w:jc w:val="center"/>
              <w:rPr>
                <w:rFonts w:hint="eastAsia" w:ascii="Arial" w:hAnsi="Calibri" w:eastAsia="宋体" w:cs="Times New Roman"/>
                <w:sz w:val="21"/>
              </w:rPr>
            </w:pPr>
            <w:r>
              <w:rPr>
                <w:rFonts w:hint="eastAsia" w:ascii="Arial" w:hAnsi="Calibri" w:eastAsia="宋体" w:cs="Times New Roman"/>
                <w:sz w:val="21"/>
              </w:rPr>
              <w:t>≥80%</w:t>
            </w:r>
          </w:p>
          <w:p w14:paraId="416EEDD3">
            <w:pPr>
              <w:jc w:val="center"/>
              <w:rPr>
                <w:rFonts w:hint="eastAsia" w:ascii="Arial" w:hAnsi="Calibri" w:eastAsia="宋体" w:cs="Times New Roman"/>
                <w:sz w:val="21"/>
              </w:rPr>
            </w:pPr>
          </w:p>
        </w:tc>
        <w:tc>
          <w:tcPr>
            <w:tcW w:w="1318" w:type="dxa"/>
            <w:gridSpan w:val="2"/>
            <w:noWrap w:val="0"/>
            <w:vAlign w:val="top"/>
          </w:tcPr>
          <w:p w14:paraId="349F8946">
            <w:pPr>
              <w:jc w:val="center"/>
              <w:rPr>
                <w:rFonts w:hint="eastAsia" w:ascii="Arial" w:hAnsi="Calibri" w:eastAsia="宋体" w:cs="Times New Roman"/>
                <w:sz w:val="21"/>
              </w:rPr>
            </w:pPr>
            <w:r>
              <w:rPr>
                <w:rFonts w:hint="eastAsia" w:ascii="Arial" w:hAnsi="Calibri" w:eastAsia="宋体" w:cs="Times New Roman"/>
                <w:sz w:val="21"/>
              </w:rPr>
              <w:t>≥80%</w:t>
            </w:r>
          </w:p>
          <w:p w14:paraId="70008CD3">
            <w:pPr>
              <w:jc w:val="center"/>
              <w:rPr>
                <w:rFonts w:hint="eastAsia" w:ascii="Arial" w:hAnsi="Calibri" w:eastAsia="宋体" w:cs="Times New Roman"/>
                <w:sz w:val="21"/>
              </w:rPr>
            </w:pPr>
          </w:p>
        </w:tc>
        <w:tc>
          <w:tcPr>
            <w:tcW w:w="884" w:type="dxa"/>
            <w:noWrap w:val="0"/>
            <w:vAlign w:val="top"/>
          </w:tcPr>
          <w:p w14:paraId="207B3908">
            <w:pPr>
              <w:jc w:val="center"/>
              <w:rPr>
                <w:rFonts w:hint="eastAsia" w:ascii="宋体" w:hAnsi="宋体" w:eastAsia="宋体" w:cs="宋体"/>
                <w:sz w:val="21"/>
                <w:szCs w:val="21"/>
                <w:lang w:val="en-US" w:eastAsia="zh-CN"/>
              </w:rPr>
            </w:pPr>
            <w:r>
              <w:rPr>
                <w:rFonts w:hint="eastAsia" w:ascii="Arial" w:hAnsi="Calibri" w:eastAsia="宋体" w:cs="Times New Roman"/>
                <w:sz w:val="21"/>
                <w:lang w:val="en-US" w:eastAsia="zh-CN"/>
              </w:rPr>
              <w:t>20</w:t>
            </w:r>
          </w:p>
        </w:tc>
      </w:tr>
      <w:tr w14:paraId="790AC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93B56D8">
            <w:pPr>
              <w:rPr>
                <w:rFonts w:ascii="Arial"/>
                <w:sz w:val="21"/>
              </w:rPr>
            </w:pPr>
          </w:p>
        </w:tc>
        <w:tc>
          <w:tcPr>
            <w:tcW w:w="689" w:type="dxa"/>
            <w:vMerge w:val="continue"/>
            <w:tcBorders>
              <w:top w:val="nil"/>
            </w:tcBorders>
            <w:noWrap w:val="0"/>
            <w:vAlign w:val="top"/>
          </w:tcPr>
          <w:p w14:paraId="4FC8803C">
            <w:pPr>
              <w:rPr>
                <w:rFonts w:ascii="Arial"/>
                <w:sz w:val="21"/>
              </w:rPr>
            </w:pPr>
          </w:p>
        </w:tc>
        <w:tc>
          <w:tcPr>
            <w:tcW w:w="1119" w:type="dxa"/>
            <w:noWrap w:val="0"/>
            <w:vAlign w:val="top"/>
          </w:tcPr>
          <w:p w14:paraId="7507E62C">
            <w:pPr>
              <w:rPr>
                <w:rFonts w:ascii="Arial"/>
                <w:sz w:val="21"/>
              </w:rPr>
            </w:pPr>
          </w:p>
        </w:tc>
        <w:tc>
          <w:tcPr>
            <w:tcW w:w="2647" w:type="dxa"/>
            <w:gridSpan w:val="3"/>
            <w:noWrap w:val="0"/>
            <w:vAlign w:val="top"/>
          </w:tcPr>
          <w:p w14:paraId="15E117E7">
            <w:pPr>
              <w:rPr>
                <w:rFonts w:ascii="Arial"/>
                <w:sz w:val="21"/>
              </w:rPr>
            </w:pPr>
          </w:p>
        </w:tc>
        <w:tc>
          <w:tcPr>
            <w:tcW w:w="1458" w:type="dxa"/>
            <w:noWrap w:val="0"/>
            <w:vAlign w:val="top"/>
          </w:tcPr>
          <w:p w14:paraId="59F00332">
            <w:pPr>
              <w:rPr>
                <w:rFonts w:ascii="Arial"/>
                <w:sz w:val="21"/>
              </w:rPr>
            </w:pPr>
          </w:p>
        </w:tc>
        <w:tc>
          <w:tcPr>
            <w:tcW w:w="1318" w:type="dxa"/>
            <w:gridSpan w:val="2"/>
            <w:noWrap w:val="0"/>
            <w:vAlign w:val="top"/>
          </w:tcPr>
          <w:p w14:paraId="24E2D3E3">
            <w:pPr>
              <w:rPr>
                <w:rFonts w:ascii="Arial"/>
                <w:sz w:val="21"/>
              </w:rPr>
            </w:pPr>
          </w:p>
        </w:tc>
        <w:tc>
          <w:tcPr>
            <w:tcW w:w="884" w:type="dxa"/>
            <w:noWrap w:val="0"/>
            <w:vAlign w:val="top"/>
          </w:tcPr>
          <w:p w14:paraId="79AAA4EA">
            <w:pPr>
              <w:rPr>
                <w:rFonts w:ascii="Arial"/>
                <w:sz w:val="21"/>
              </w:rPr>
            </w:pPr>
          </w:p>
        </w:tc>
      </w:tr>
      <w:tr w14:paraId="0C7FE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58F37F4A">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7E82D5B2">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2F37FC4C">
            <w:pPr>
              <w:rPr>
                <w:rFonts w:ascii="Arial"/>
                <w:sz w:val="21"/>
              </w:rPr>
            </w:pPr>
          </w:p>
        </w:tc>
        <w:tc>
          <w:tcPr>
            <w:tcW w:w="1119" w:type="dxa"/>
            <w:noWrap w:val="0"/>
            <w:vAlign w:val="top"/>
          </w:tcPr>
          <w:p w14:paraId="6BD182B4">
            <w:pPr>
              <w:rPr>
                <w:rFonts w:ascii="Arial"/>
                <w:sz w:val="21"/>
              </w:rPr>
            </w:pPr>
          </w:p>
        </w:tc>
        <w:tc>
          <w:tcPr>
            <w:tcW w:w="2647" w:type="dxa"/>
            <w:gridSpan w:val="3"/>
            <w:noWrap w:val="0"/>
            <w:vAlign w:val="top"/>
          </w:tcPr>
          <w:p w14:paraId="3851EA08">
            <w:pPr>
              <w:rPr>
                <w:rFonts w:ascii="Arial"/>
                <w:sz w:val="21"/>
              </w:rPr>
            </w:pPr>
          </w:p>
        </w:tc>
        <w:tc>
          <w:tcPr>
            <w:tcW w:w="1458" w:type="dxa"/>
            <w:noWrap w:val="0"/>
            <w:vAlign w:val="top"/>
          </w:tcPr>
          <w:p w14:paraId="04B5DD03">
            <w:pPr>
              <w:rPr>
                <w:rFonts w:ascii="Arial"/>
                <w:sz w:val="21"/>
              </w:rPr>
            </w:pPr>
          </w:p>
        </w:tc>
        <w:tc>
          <w:tcPr>
            <w:tcW w:w="1318" w:type="dxa"/>
            <w:gridSpan w:val="2"/>
            <w:noWrap w:val="0"/>
            <w:vAlign w:val="top"/>
          </w:tcPr>
          <w:p w14:paraId="5B0118AF">
            <w:pPr>
              <w:rPr>
                <w:rFonts w:ascii="Arial"/>
                <w:sz w:val="21"/>
              </w:rPr>
            </w:pPr>
          </w:p>
        </w:tc>
        <w:tc>
          <w:tcPr>
            <w:tcW w:w="884" w:type="dxa"/>
            <w:noWrap w:val="0"/>
            <w:vAlign w:val="top"/>
          </w:tcPr>
          <w:p w14:paraId="67C7E431">
            <w:pPr>
              <w:rPr>
                <w:rFonts w:ascii="Arial"/>
                <w:sz w:val="21"/>
              </w:rPr>
            </w:pPr>
          </w:p>
        </w:tc>
      </w:tr>
      <w:tr w14:paraId="11694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76D49E8">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44951689">
            <w:pPr>
              <w:rPr>
                <w:rFonts w:ascii="Arial"/>
                <w:sz w:val="21"/>
              </w:rPr>
            </w:pPr>
          </w:p>
        </w:tc>
        <w:tc>
          <w:tcPr>
            <w:tcW w:w="1119" w:type="dxa"/>
            <w:noWrap w:val="0"/>
            <w:vAlign w:val="top"/>
          </w:tcPr>
          <w:p w14:paraId="2A21C803">
            <w:pPr>
              <w:rPr>
                <w:rFonts w:ascii="Arial"/>
                <w:sz w:val="21"/>
              </w:rPr>
            </w:pPr>
          </w:p>
        </w:tc>
        <w:tc>
          <w:tcPr>
            <w:tcW w:w="2647" w:type="dxa"/>
            <w:gridSpan w:val="3"/>
            <w:noWrap w:val="0"/>
            <w:vAlign w:val="top"/>
          </w:tcPr>
          <w:p w14:paraId="0B72E19A">
            <w:pPr>
              <w:rPr>
                <w:rFonts w:ascii="Arial"/>
                <w:sz w:val="21"/>
              </w:rPr>
            </w:pPr>
          </w:p>
        </w:tc>
        <w:tc>
          <w:tcPr>
            <w:tcW w:w="1458" w:type="dxa"/>
            <w:noWrap w:val="0"/>
            <w:vAlign w:val="top"/>
          </w:tcPr>
          <w:p w14:paraId="7A929E3F">
            <w:pPr>
              <w:rPr>
                <w:rFonts w:ascii="Arial"/>
                <w:sz w:val="21"/>
              </w:rPr>
            </w:pPr>
          </w:p>
        </w:tc>
        <w:tc>
          <w:tcPr>
            <w:tcW w:w="1318" w:type="dxa"/>
            <w:gridSpan w:val="2"/>
            <w:noWrap w:val="0"/>
            <w:vAlign w:val="top"/>
          </w:tcPr>
          <w:p w14:paraId="39612199">
            <w:pPr>
              <w:rPr>
                <w:rFonts w:ascii="Arial"/>
                <w:sz w:val="21"/>
              </w:rPr>
            </w:pPr>
          </w:p>
        </w:tc>
        <w:tc>
          <w:tcPr>
            <w:tcW w:w="884" w:type="dxa"/>
            <w:noWrap w:val="0"/>
            <w:vAlign w:val="top"/>
          </w:tcPr>
          <w:p w14:paraId="3C3968B5">
            <w:pPr>
              <w:rPr>
                <w:rFonts w:ascii="Arial"/>
                <w:sz w:val="21"/>
              </w:rPr>
            </w:pPr>
          </w:p>
        </w:tc>
      </w:tr>
      <w:tr w14:paraId="40996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502A59F6">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top"/>
          </w:tcPr>
          <w:p w14:paraId="644E901F">
            <w:pPr>
              <w:rPr>
                <w:rFonts w:hint="default" w:ascii="Arial" w:eastAsia="宋体"/>
                <w:sz w:val="21"/>
                <w:lang w:val="en-US" w:eastAsia="zh-CN"/>
              </w:rPr>
            </w:pPr>
            <w:r>
              <w:rPr>
                <w:rFonts w:hint="eastAsia" w:ascii="Arial" w:eastAsia="宋体"/>
                <w:sz w:val="21"/>
                <w:lang w:val="en-US" w:eastAsia="zh-CN"/>
              </w:rPr>
              <w:t>100</w:t>
            </w:r>
          </w:p>
        </w:tc>
      </w:tr>
      <w:tr w14:paraId="5EE96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noWrap w:val="0"/>
            <w:vAlign w:val="top"/>
          </w:tcPr>
          <w:p w14:paraId="2A52487D">
            <w:pPr>
              <w:spacing w:line="242" w:lineRule="auto"/>
              <w:jc w:val="center"/>
              <w:rPr>
                <w:rFonts w:ascii="Arial"/>
                <w:b/>
                <w:bCs/>
                <w:sz w:val="21"/>
              </w:rPr>
            </w:pPr>
          </w:p>
          <w:p w14:paraId="5D7770DB">
            <w:pPr>
              <w:jc w:val="center"/>
              <w:rPr>
                <w:b/>
                <w:bCs/>
              </w:rPr>
            </w:pPr>
            <w:r>
              <w:rPr>
                <w:b/>
                <w:bCs/>
              </w:rPr>
              <w:t>偏差大或</w:t>
            </w:r>
          </w:p>
          <w:p w14:paraId="1546F617">
            <w:pPr>
              <w:jc w:val="center"/>
              <w:rPr>
                <w:b/>
                <w:bCs/>
              </w:rPr>
            </w:pPr>
            <w:r>
              <w:rPr>
                <w:b/>
                <w:bCs/>
              </w:rPr>
              <w:t>目标未完成</w:t>
            </w:r>
          </w:p>
          <w:p w14:paraId="22C40665">
            <w:pPr>
              <w:jc w:val="center"/>
              <w:rPr>
                <w:rFonts w:ascii="宋体" w:hAnsi="宋体" w:eastAsia="宋体" w:cs="宋体"/>
                <w:sz w:val="20"/>
                <w:szCs w:val="20"/>
              </w:rPr>
            </w:pPr>
            <w:r>
              <w:rPr>
                <w:b/>
                <w:bCs/>
              </w:rPr>
              <w:t>原因分析</w:t>
            </w:r>
          </w:p>
        </w:tc>
        <w:tc>
          <w:tcPr>
            <w:tcW w:w="8115" w:type="dxa"/>
            <w:gridSpan w:val="9"/>
            <w:noWrap w:val="0"/>
            <w:vAlign w:val="top"/>
          </w:tcPr>
          <w:p w14:paraId="51B545A2">
            <w:pPr>
              <w:rPr>
                <w:rFonts w:ascii="Arial"/>
                <w:sz w:val="21"/>
              </w:rPr>
            </w:pPr>
          </w:p>
        </w:tc>
      </w:tr>
      <w:tr w14:paraId="4903E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814" w:type="dxa"/>
            <w:noWrap w:val="0"/>
            <w:vAlign w:val="top"/>
          </w:tcPr>
          <w:p w14:paraId="5D8AD854">
            <w:pPr>
              <w:spacing w:line="240" w:lineRule="auto"/>
              <w:jc w:val="center"/>
              <w:rPr>
                <w:rFonts w:ascii="Arial"/>
                <w:sz w:val="21"/>
              </w:rPr>
            </w:pPr>
          </w:p>
          <w:p w14:paraId="16F3C6BD">
            <w:pPr>
              <w:spacing w:line="240" w:lineRule="auto"/>
              <w:ind w:left="0" w:right="0" w:firstLine="0"/>
              <w:jc w:val="center"/>
              <w:rPr>
                <w:rFonts w:ascii="宋体" w:hAnsi="宋体" w:eastAsia="宋体" w:cs="宋体"/>
                <w:sz w:val="20"/>
                <w:szCs w:val="20"/>
              </w:rPr>
            </w:pPr>
            <w:r>
              <w:rPr>
                <w:b/>
                <w:bCs/>
              </w:rPr>
              <w:t>改进措施及  结果应用方案</w:t>
            </w:r>
          </w:p>
        </w:tc>
        <w:tc>
          <w:tcPr>
            <w:tcW w:w="8115" w:type="dxa"/>
            <w:gridSpan w:val="9"/>
            <w:noWrap w:val="0"/>
            <w:vAlign w:val="top"/>
          </w:tcPr>
          <w:p w14:paraId="72472E7B">
            <w:pPr>
              <w:spacing w:line="240" w:lineRule="auto"/>
              <w:jc w:val="center"/>
              <w:rPr>
                <w:rFonts w:ascii="Arial"/>
                <w:sz w:val="21"/>
              </w:rPr>
            </w:pPr>
          </w:p>
          <w:p w14:paraId="0399DF43">
            <w:pPr>
              <w:spacing w:line="240" w:lineRule="auto"/>
              <w:jc w:val="center"/>
              <w:rPr>
                <w:rFonts w:ascii="Arial"/>
                <w:sz w:val="21"/>
              </w:rPr>
            </w:pPr>
          </w:p>
          <w:p w14:paraId="335C2A52">
            <w:pPr>
              <w:spacing w:line="240" w:lineRule="auto"/>
              <w:jc w:val="center"/>
              <w:rPr>
                <w:rFonts w:ascii="Arial"/>
                <w:sz w:val="21"/>
              </w:rPr>
            </w:pPr>
          </w:p>
          <w:p w14:paraId="50653A5E">
            <w:pPr>
              <w:spacing w:line="240" w:lineRule="auto"/>
              <w:jc w:val="center"/>
              <w:rPr>
                <w:rFonts w:ascii="Arial"/>
                <w:sz w:val="21"/>
              </w:rPr>
            </w:pPr>
          </w:p>
          <w:p w14:paraId="35441FBF">
            <w:pPr>
              <w:spacing w:line="240" w:lineRule="auto"/>
              <w:jc w:val="both"/>
              <w:rPr>
                <w:rFonts w:ascii="Arial"/>
                <w:sz w:val="21"/>
              </w:rPr>
            </w:pPr>
          </w:p>
          <w:p w14:paraId="76B85D50">
            <w:pPr>
              <w:spacing w:line="240" w:lineRule="auto"/>
              <w:jc w:val="center"/>
              <w:rPr>
                <w:rFonts w:ascii="Arial"/>
                <w:sz w:val="21"/>
              </w:rPr>
            </w:pPr>
          </w:p>
          <w:p w14:paraId="7984E413">
            <w:pPr>
              <w:spacing w:line="240" w:lineRule="auto"/>
              <w:jc w:val="center"/>
              <w:rPr>
                <w:rFonts w:ascii="Arial"/>
                <w:sz w:val="21"/>
              </w:rPr>
            </w:pPr>
          </w:p>
        </w:tc>
      </w:tr>
    </w:tbl>
    <w:p w14:paraId="2D2B3342">
      <w:pPr>
        <w:spacing w:before="46" w:line="224" w:lineRule="auto"/>
        <w:ind w:left="164"/>
        <w:rPr>
          <w:rFonts w:ascii="仿宋" w:hAnsi="仿宋" w:eastAsia="仿宋" w:cs="仿宋"/>
          <w:sz w:val="24"/>
          <w:szCs w:val="24"/>
        </w:rPr>
      </w:pPr>
      <w:r>
        <w:rPr>
          <w:rFonts w:ascii="仿宋" w:hAnsi="仿宋" w:eastAsia="仿宋" w:cs="仿宋"/>
          <w:spacing w:val="-27"/>
          <w:sz w:val="24"/>
          <w:szCs w:val="24"/>
        </w:rPr>
        <w:t>备注：</w:t>
      </w:r>
    </w:p>
    <w:p w14:paraId="6E6C2FC0">
      <w:pPr>
        <w:spacing w:before="40" w:line="257" w:lineRule="auto"/>
        <w:ind w:left="164" w:right="163" w:firstLine="410"/>
        <w:rPr>
          <w:rFonts w:ascii="仿宋" w:hAnsi="仿宋" w:eastAsia="仿宋" w:cs="仿宋"/>
          <w:sz w:val="21"/>
          <w:szCs w:val="21"/>
        </w:rPr>
      </w:pPr>
      <w:r>
        <w:rPr>
          <w:rFonts w:ascii="仿宋" w:hAnsi="仿宋" w:eastAsia="仿宋" w:cs="仿宋"/>
          <w:spacing w:val="8"/>
          <w:sz w:val="21"/>
          <w:szCs w:val="21"/>
        </w:rPr>
        <w:t>1.预算执行情况口径：预算数为调整后财政资金总额(包括上年结余结转),执行数为资</w:t>
      </w:r>
      <w:r>
        <w:rPr>
          <w:rFonts w:ascii="仿宋" w:hAnsi="仿宋" w:eastAsia="仿宋" w:cs="仿宋"/>
          <w:spacing w:val="5"/>
          <w:sz w:val="21"/>
          <w:szCs w:val="21"/>
        </w:rPr>
        <w:t xml:space="preserve"> </w:t>
      </w:r>
      <w:r>
        <w:rPr>
          <w:rFonts w:ascii="仿宋" w:hAnsi="仿宋" w:eastAsia="仿宋" w:cs="仿宋"/>
          <w:sz w:val="21"/>
          <w:szCs w:val="21"/>
        </w:rPr>
        <w:t>金使用单位财政资金实际支出数。涉及政府采购的项目支出要</w:t>
      </w:r>
      <w:r>
        <w:rPr>
          <w:rFonts w:ascii="仿宋" w:hAnsi="仿宋" w:eastAsia="仿宋" w:cs="仿宋"/>
          <w:spacing w:val="-1"/>
          <w:sz w:val="21"/>
          <w:szCs w:val="21"/>
        </w:rPr>
        <w:t>设置相关绩效指标反映政府采购</w:t>
      </w:r>
      <w:r>
        <w:rPr>
          <w:rFonts w:ascii="仿宋" w:hAnsi="仿宋" w:eastAsia="仿宋" w:cs="仿宋"/>
          <w:sz w:val="21"/>
          <w:szCs w:val="21"/>
        </w:rPr>
        <w:t xml:space="preserve"> </w:t>
      </w:r>
      <w:r>
        <w:rPr>
          <w:rFonts w:ascii="仿宋" w:hAnsi="仿宋" w:eastAsia="仿宋" w:cs="仿宋"/>
          <w:spacing w:val="-9"/>
          <w:sz w:val="21"/>
          <w:szCs w:val="21"/>
        </w:rPr>
        <w:t>管理情况。</w:t>
      </w:r>
    </w:p>
    <w:p w14:paraId="569A9B44">
      <w:pPr>
        <w:spacing w:before="54" w:line="256" w:lineRule="auto"/>
        <w:ind w:left="164" w:right="199" w:firstLine="410"/>
        <w:rPr>
          <w:rFonts w:ascii="仿宋" w:hAnsi="仿宋" w:eastAsia="仿宋" w:cs="仿宋"/>
          <w:sz w:val="21"/>
          <w:szCs w:val="21"/>
        </w:rPr>
      </w:pPr>
      <w:r>
        <w:rPr>
          <w:rFonts w:ascii="仿宋" w:hAnsi="仿宋" w:eastAsia="仿宋" w:cs="仿宋"/>
          <w:spacing w:val="-1"/>
          <w:sz w:val="21"/>
          <w:szCs w:val="21"/>
        </w:rPr>
        <w:t>2.定量指标完成数汇总原则：绝对值直接累加计算，相对值按照资金额度加权平均计算。</w:t>
      </w:r>
      <w:r>
        <w:rPr>
          <w:rFonts w:ascii="仿宋" w:hAnsi="仿宋" w:eastAsia="仿宋" w:cs="仿宋"/>
          <w:spacing w:val="3"/>
          <w:sz w:val="21"/>
          <w:szCs w:val="21"/>
        </w:rPr>
        <w:t xml:space="preserve"> 定量指标计分原则：正向指标(即目标值为≥X,得分=权重*B/</w:t>
      </w:r>
      <w:r>
        <w:rPr>
          <w:rFonts w:ascii="仿宋" w:hAnsi="仿宋" w:eastAsia="仿宋" w:cs="仿宋"/>
          <w:spacing w:val="2"/>
          <w:sz w:val="21"/>
          <w:szCs w:val="21"/>
        </w:rPr>
        <w:t>A),</w:t>
      </w:r>
      <w:r>
        <w:rPr>
          <w:rFonts w:ascii="仿宋" w:hAnsi="仿宋" w:eastAsia="仿宋" w:cs="仿宋"/>
          <w:spacing w:val="52"/>
          <w:sz w:val="21"/>
          <w:szCs w:val="21"/>
        </w:rPr>
        <w:t xml:space="preserve"> </w:t>
      </w:r>
      <w:r>
        <w:rPr>
          <w:rFonts w:ascii="仿宋" w:hAnsi="仿宋" w:eastAsia="仿宋" w:cs="仿宋"/>
          <w:spacing w:val="2"/>
          <w:sz w:val="21"/>
          <w:szCs w:val="21"/>
        </w:rPr>
        <w:t>反向指标(即目标值为≤X,</w:t>
      </w:r>
      <w:r>
        <w:rPr>
          <w:rFonts w:ascii="仿宋" w:hAnsi="仿宋" w:eastAsia="仿宋" w:cs="仿宋"/>
          <w:sz w:val="21"/>
          <w:szCs w:val="21"/>
        </w:rPr>
        <w:t xml:space="preserve"> </w:t>
      </w:r>
      <w:r>
        <w:rPr>
          <w:rFonts w:ascii="仿宋" w:hAnsi="仿宋" w:eastAsia="仿宋" w:cs="仿宋"/>
          <w:spacing w:val="-1"/>
          <w:sz w:val="21"/>
          <w:szCs w:val="21"/>
        </w:rPr>
        <w:t>得分=权重*A/B),</w:t>
      </w:r>
      <w:r>
        <w:rPr>
          <w:rFonts w:ascii="仿宋" w:hAnsi="仿宋" w:eastAsia="仿宋" w:cs="仿宋"/>
          <w:spacing w:val="100"/>
          <w:sz w:val="21"/>
          <w:szCs w:val="21"/>
        </w:rPr>
        <w:t xml:space="preserve"> </w:t>
      </w:r>
      <w:r>
        <w:rPr>
          <w:rFonts w:ascii="仿宋" w:hAnsi="仿宋" w:eastAsia="仿宋" w:cs="仿宋"/>
          <w:spacing w:val="-1"/>
          <w:sz w:val="21"/>
          <w:szCs w:val="21"/>
        </w:rPr>
        <w:t>得分不得突破权重总额。定量指标</w:t>
      </w:r>
      <w:r>
        <w:rPr>
          <w:rFonts w:ascii="仿宋" w:hAnsi="仿宋" w:eastAsia="仿宋" w:cs="仿宋"/>
          <w:spacing w:val="-2"/>
          <w:sz w:val="21"/>
          <w:szCs w:val="21"/>
        </w:rPr>
        <w:t>先汇总完成数，再计算得分。</w:t>
      </w:r>
    </w:p>
    <w:p w14:paraId="7945BB88">
      <w:pPr>
        <w:spacing w:before="54" w:line="256" w:lineRule="auto"/>
        <w:ind w:left="164" w:right="179" w:firstLine="410"/>
        <w:rPr>
          <w:rFonts w:ascii="仿宋" w:hAnsi="仿宋" w:eastAsia="仿宋" w:cs="仿宋"/>
          <w:sz w:val="21"/>
          <w:szCs w:val="21"/>
        </w:rPr>
      </w:pPr>
      <w:r>
        <w:rPr>
          <w:rFonts w:ascii="仿宋" w:hAnsi="仿宋" w:eastAsia="仿宋" w:cs="仿宋"/>
          <w:sz w:val="21"/>
          <w:szCs w:val="21"/>
        </w:rPr>
        <w:t>3.定性指标计分原则：达成预期指标、部分达成预期指标并具有一定</w:t>
      </w:r>
      <w:r>
        <w:rPr>
          <w:rFonts w:ascii="仿宋" w:hAnsi="仿宋" w:eastAsia="仿宋" w:cs="仿宋"/>
          <w:spacing w:val="-1"/>
          <w:sz w:val="21"/>
          <w:szCs w:val="21"/>
        </w:rPr>
        <w:t>效果、未达成预期指</w:t>
      </w:r>
      <w:r>
        <w:rPr>
          <w:rFonts w:ascii="仿宋" w:hAnsi="仿宋" w:eastAsia="仿宋" w:cs="仿宋"/>
          <w:sz w:val="21"/>
          <w:szCs w:val="21"/>
        </w:rPr>
        <w:t xml:space="preserve"> </w:t>
      </w:r>
      <w:r>
        <w:rPr>
          <w:rFonts w:ascii="仿宋" w:hAnsi="仿宋" w:eastAsia="仿宋" w:cs="仿宋"/>
          <w:spacing w:val="4"/>
          <w:sz w:val="21"/>
          <w:szCs w:val="21"/>
        </w:rPr>
        <w:t>标且效果较差三档，分别按照该指标对应分值区间100-80%(含80</w:t>
      </w:r>
      <w:r>
        <w:rPr>
          <w:rFonts w:ascii="仿宋" w:hAnsi="仿宋" w:eastAsia="仿宋" w:cs="仿宋"/>
          <w:spacing w:val="3"/>
          <w:sz w:val="21"/>
          <w:szCs w:val="21"/>
        </w:rPr>
        <w:t>%)、80-50%(含50%)、50-0%</w:t>
      </w:r>
      <w:r>
        <w:rPr>
          <w:rFonts w:ascii="仿宋" w:hAnsi="仿宋" w:eastAsia="仿宋" w:cs="仿宋"/>
          <w:sz w:val="21"/>
          <w:szCs w:val="21"/>
        </w:rPr>
        <w:t xml:space="preserve"> </w:t>
      </w:r>
      <w:r>
        <w:rPr>
          <w:rFonts w:ascii="仿宋" w:hAnsi="仿宋" w:eastAsia="仿宋" w:cs="仿宋"/>
          <w:spacing w:val="-2"/>
          <w:sz w:val="21"/>
          <w:szCs w:val="21"/>
        </w:rPr>
        <w:t>合理确定分值。汇总时，以资金额度为权重，对分值进行加权平均计算。</w:t>
      </w:r>
    </w:p>
    <w:p w14:paraId="1C3798B8">
      <w:pPr>
        <w:spacing w:before="58" w:line="220" w:lineRule="auto"/>
        <w:ind w:left="575"/>
        <w:rPr>
          <w:rFonts w:ascii="仿宋" w:hAnsi="仿宋" w:eastAsia="仿宋" w:cs="仿宋"/>
          <w:sz w:val="21"/>
          <w:szCs w:val="21"/>
        </w:rPr>
      </w:pPr>
      <w:r>
        <w:rPr>
          <w:rFonts w:ascii="仿宋" w:hAnsi="仿宋" w:eastAsia="仿宋" w:cs="仿宋"/>
          <w:spacing w:val="-1"/>
          <w:sz w:val="21"/>
          <w:szCs w:val="21"/>
        </w:rPr>
        <w:t>4.基于经济性和必要性等因素考虑，满意度指标暂</w:t>
      </w:r>
      <w:r>
        <w:rPr>
          <w:rFonts w:ascii="仿宋" w:hAnsi="仿宋" w:eastAsia="仿宋" w:cs="仿宋"/>
          <w:spacing w:val="-2"/>
          <w:sz w:val="21"/>
          <w:szCs w:val="21"/>
        </w:rPr>
        <w:t>可不作为必评指标。</w:t>
      </w:r>
    </w:p>
    <w:p w14:paraId="05D44C2F">
      <w:pPr>
        <w:spacing w:before="61" w:line="222" w:lineRule="auto"/>
        <w:ind w:left="575"/>
        <w:rPr>
          <w:rFonts w:ascii="仿宋" w:hAnsi="仿宋" w:eastAsia="仿宋" w:cs="仿宋"/>
          <w:sz w:val="21"/>
          <w:szCs w:val="21"/>
        </w:rPr>
      </w:pPr>
      <w:r>
        <w:rPr>
          <w:rFonts w:ascii="仿宋" w:hAnsi="仿宋" w:eastAsia="仿宋" w:cs="仿宋"/>
          <w:spacing w:val="-1"/>
          <w:sz w:val="21"/>
          <w:szCs w:val="21"/>
        </w:rPr>
        <w:t>5.涉及政府采购的项目支出应设置相关政府采购指标。</w:t>
      </w:r>
    </w:p>
    <w:p w14:paraId="6B1C0C9B">
      <w:pPr>
        <w:spacing w:before="56" w:line="219" w:lineRule="auto"/>
        <w:ind w:left="575"/>
        <w:rPr>
          <w:rFonts w:ascii="仿宋" w:hAnsi="仿宋" w:eastAsia="仿宋" w:cs="仿宋"/>
          <w:spacing w:val="-1"/>
          <w:sz w:val="21"/>
          <w:szCs w:val="21"/>
        </w:rPr>
      </w:pPr>
      <w:r>
        <w:rPr>
          <w:rFonts w:ascii="仿宋" w:hAnsi="仿宋" w:eastAsia="仿宋" w:cs="仿宋"/>
          <w:spacing w:val="-1"/>
          <w:sz w:val="21"/>
          <w:szCs w:val="21"/>
        </w:rPr>
        <w:t>6.本部门单位自评项目较多的亦可自行设计封面，请主要领导在封面上签字并加盖公章。</w:t>
      </w:r>
    </w:p>
    <w:p w14:paraId="6F19751D">
      <w:pPr>
        <w:spacing w:before="56" w:line="219" w:lineRule="auto"/>
        <w:ind w:left="575"/>
        <w:rPr>
          <w:rFonts w:hint="eastAsia" w:ascii="仿宋" w:hAnsi="仿宋" w:eastAsia="仿宋" w:cs="仿宋"/>
          <w:spacing w:val="-1"/>
          <w:sz w:val="21"/>
          <w:szCs w:val="21"/>
          <w:lang w:val="en-US" w:eastAsia="zh-CN"/>
        </w:rPr>
      </w:pPr>
    </w:p>
    <w:p w14:paraId="07BEEEDA">
      <w:pPr>
        <w:spacing w:before="56" w:line="219" w:lineRule="auto"/>
        <w:ind w:left="575"/>
        <w:rPr>
          <w:rFonts w:hint="eastAsia" w:ascii="仿宋" w:hAnsi="仿宋" w:eastAsia="仿宋" w:cs="仿宋"/>
          <w:spacing w:val="-1"/>
          <w:sz w:val="21"/>
          <w:szCs w:val="21"/>
          <w:lang w:val="en-US" w:eastAsia="zh-CN"/>
        </w:rPr>
      </w:pPr>
    </w:p>
    <w:p w14:paraId="70A36F67">
      <w:pPr>
        <w:spacing w:before="105" w:line="219" w:lineRule="auto"/>
        <w:jc w:val="center"/>
        <w:rPr>
          <w:rFonts w:ascii="宋体" w:hAnsi="宋体" w:eastAsia="宋体" w:cs="宋体"/>
          <w:sz w:val="32"/>
          <w:szCs w:val="32"/>
        </w:rPr>
      </w:pPr>
      <w:r>
        <w:rPr>
          <w:rFonts w:hint="eastAsia" w:ascii="宋体" w:hAnsi="宋体" w:eastAsia="宋体" w:cs="宋体"/>
          <w:b/>
          <w:bCs/>
          <w:sz w:val="32"/>
          <w:szCs w:val="32"/>
          <w:lang w:val="en-US" w:eastAsia="zh-CN"/>
        </w:rPr>
        <w:t>2021</w:t>
      </w:r>
      <w:r>
        <w:rPr>
          <w:rFonts w:ascii="宋体" w:hAnsi="宋体" w:eastAsia="宋体" w:cs="宋体"/>
          <w:b/>
          <w:bCs/>
          <w:spacing w:val="17"/>
          <w:sz w:val="32"/>
          <w:szCs w:val="32"/>
        </w:rPr>
        <w:t>年度</w:t>
      </w:r>
      <w:r>
        <w:rPr>
          <w:rFonts w:hint="eastAsia" w:ascii="宋体" w:hAnsi="宋体" w:eastAsia="宋体" w:cs="宋体"/>
          <w:b/>
          <w:bCs/>
          <w:sz w:val="32"/>
          <w:szCs w:val="32"/>
          <w:lang w:val="en-US" w:eastAsia="zh-CN"/>
        </w:rPr>
        <w:t>档案室建设经费</w:t>
      </w:r>
      <w:r>
        <w:rPr>
          <w:rFonts w:ascii="宋体" w:hAnsi="宋体" w:eastAsia="宋体" w:cs="宋体"/>
          <w:b/>
          <w:bCs/>
          <w:spacing w:val="17"/>
          <w:sz w:val="32"/>
          <w:szCs w:val="32"/>
        </w:rPr>
        <w:t>项目自评表</w:t>
      </w:r>
    </w:p>
    <w:p w14:paraId="3295115F">
      <w:pPr>
        <w:spacing w:before="63" w:line="226" w:lineRule="auto"/>
        <w:ind w:left="239"/>
        <w:rPr>
          <w:rFonts w:ascii="楷体" w:hAnsi="楷体" w:eastAsia="楷体" w:cs="楷体"/>
          <w:sz w:val="30"/>
          <w:szCs w:val="30"/>
        </w:rPr>
      </w:pPr>
      <w:r>
        <w:rPr>
          <w:rFonts w:ascii="楷体" w:hAnsi="楷体" w:eastAsia="楷体" w:cs="楷体"/>
          <w:b/>
          <w:bCs/>
          <w:spacing w:val="13"/>
          <w:position w:val="1"/>
          <w:sz w:val="30"/>
          <w:szCs w:val="30"/>
        </w:rPr>
        <w:t>项目单位(盖章):</w:t>
      </w:r>
      <w:r>
        <w:rPr>
          <w:rFonts w:ascii="楷体" w:hAnsi="楷体" w:eastAsia="楷体" w:cs="楷体"/>
          <w:spacing w:val="3"/>
          <w:position w:val="1"/>
          <w:sz w:val="30"/>
          <w:szCs w:val="30"/>
        </w:rPr>
        <w:t xml:space="preserve">  </w:t>
      </w:r>
      <w:r>
        <w:rPr>
          <w:rFonts w:hint="eastAsia" w:ascii="楷体" w:hAnsi="楷体" w:eastAsia="楷体" w:cs="楷体"/>
          <w:spacing w:val="3"/>
          <w:position w:val="1"/>
          <w:sz w:val="30"/>
          <w:szCs w:val="30"/>
          <w:lang w:val="en-US" w:eastAsia="zh-CN"/>
        </w:rPr>
        <w:t>下陆区财政局</w:t>
      </w:r>
      <w:r>
        <w:rPr>
          <w:rFonts w:ascii="楷体" w:hAnsi="楷体" w:eastAsia="楷体" w:cs="楷体"/>
          <w:spacing w:val="3"/>
          <w:position w:val="1"/>
          <w:sz w:val="30"/>
          <w:szCs w:val="30"/>
        </w:rPr>
        <w:t xml:space="preserve">     </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111FF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F6B4D42">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789A1B76">
            <w:pPr>
              <w:rPr>
                <w:rFonts w:hint="default" w:ascii="Arial" w:eastAsia="宋体"/>
                <w:sz w:val="21"/>
                <w:lang w:val="en-US" w:eastAsia="zh-CN"/>
              </w:rPr>
            </w:pPr>
            <w:r>
              <w:rPr>
                <w:rFonts w:hint="eastAsia" w:ascii="Arial"/>
                <w:sz w:val="21"/>
                <w:lang w:val="en-US" w:eastAsia="zh-CN"/>
              </w:rPr>
              <w:t>档案室建设经费</w:t>
            </w:r>
          </w:p>
        </w:tc>
      </w:tr>
      <w:tr w14:paraId="53680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EDD6941">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268A2E26">
            <w:pPr>
              <w:rPr>
                <w:rFonts w:ascii="Arial"/>
                <w:sz w:val="21"/>
              </w:rPr>
            </w:pPr>
          </w:p>
        </w:tc>
        <w:tc>
          <w:tcPr>
            <w:tcW w:w="2516" w:type="dxa"/>
            <w:gridSpan w:val="3"/>
            <w:noWrap w:val="0"/>
            <w:vAlign w:val="top"/>
          </w:tcPr>
          <w:p w14:paraId="3FBD3BC6">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6EF77869">
            <w:pPr>
              <w:rPr>
                <w:rFonts w:hint="default" w:ascii="Arial" w:eastAsia="宋体"/>
                <w:sz w:val="21"/>
                <w:lang w:val="en-US" w:eastAsia="zh-CN"/>
              </w:rPr>
            </w:pPr>
            <w:r>
              <w:rPr>
                <w:rFonts w:hint="eastAsia" w:ascii="Arial"/>
                <w:sz w:val="21"/>
                <w:lang w:val="en-US" w:eastAsia="zh-CN"/>
              </w:rPr>
              <w:t>下陆区财政局</w:t>
            </w:r>
          </w:p>
        </w:tc>
      </w:tr>
      <w:tr w14:paraId="50738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5243FEA">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73CC59ED">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D1C9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40509085">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5BA9CBA0">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3D1B2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23E0B1F">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03609343">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5EFF2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02274B4">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302B4DF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2F03967">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25C5B23D">
            <w:pPr>
              <w:rPr>
                <w:rFonts w:ascii="Arial"/>
                <w:sz w:val="21"/>
              </w:rPr>
            </w:pPr>
          </w:p>
        </w:tc>
        <w:tc>
          <w:tcPr>
            <w:tcW w:w="1329" w:type="dxa"/>
            <w:noWrap w:val="0"/>
            <w:vAlign w:val="top"/>
          </w:tcPr>
          <w:p w14:paraId="4A57D5A2">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6710192">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70781182">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9DD15C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29591C6D">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4A26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2525C68">
            <w:pPr>
              <w:rPr>
                <w:rFonts w:ascii="Arial"/>
                <w:sz w:val="21"/>
              </w:rPr>
            </w:pPr>
          </w:p>
        </w:tc>
        <w:tc>
          <w:tcPr>
            <w:tcW w:w="1119" w:type="dxa"/>
            <w:noWrap w:val="0"/>
            <w:vAlign w:val="top"/>
          </w:tcPr>
          <w:p w14:paraId="1DD3F76F">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3469BE7F">
            <w:pPr>
              <w:rPr>
                <w:rFonts w:hint="default" w:ascii="Arial" w:eastAsia="宋体"/>
                <w:sz w:val="21"/>
                <w:lang w:val="en-US" w:eastAsia="zh-CN"/>
              </w:rPr>
            </w:pPr>
            <w:r>
              <w:rPr>
                <w:rFonts w:hint="eastAsia" w:ascii="Arial"/>
                <w:sz w:val="21"/>
                <w:lang w:val="en-US" w:eastAsia="zh-CN"/>
              </w:rPr>
              <w:t>30</w:t>
            </w:r>
          </w:p>
        </w:tc>
        <w:tc>
          <w:tcPr>
            <w:tcW w:w="1318" w:type="dxa"/>
            <w:gridSpan w:val="2"/>
            <w:noWrap w:val="0"/>
            <w:vAlign w:val="top"/>
          </w:tcPr>
          <w:p w14:paraId="7450CE4D">
            <w:pPr>
              <w:rPr>
                <w:rFonts w:hint="default" w:ascii="Arial" w:eastAsia="宋体"/>
                <w:sz w:val="21"/>
                <w:lang w:val="en-US" w:eastAsia="zh-CN"/>
              </w:rPr>
            </w:pPr>
            <w:r>
              <w:rPr>
                <w:rFonts w:hint="eastAsia" w:ascii="Arial" w:eastAsia="宋体"/>
                <w:sz w:val="21"/>
                <w:lang w:val="en-US" w:eastAsia="zh-CN"/>
              </w:rPr>
              <w:t>30</w:t>
            </w:r>
          </w:p>
        </w:tc>
        <w:tc>
          <w:tcPr>
            <w:tcW w:w="1458" w:type="dxa"/>
            <w:noWrap w:val="0"/>
            <w:vAlign w:val="top"/>
          </w:tcPr>
          <w:p w14:paraId="738B1101">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13BE989C">
            <w:pPr>
              <w:rPr>
                <w:rFonts w:hint="default" w:ascii="Arial" w:eastAsia="宋体"/>
                <w:sz w:val="21"/>
                <w:lang w:val="en-US" w:eastAsia="zh-CN"/>
              </w:rPr>
            </w:pPr>
            <w:r>
              <w:rPr>
                <w:rFonts w:hint="eastAsia" w:ascii="Arial"/>
                <w:sz w:val="21"/>
                <w:lang w:val="en-US" w:eastAsia="zh-CN"/>
              </w:rPr>
              <w:t>20</w:t>
            </w:r>
          </w:p>
        </w:tc>
      </w:tr>
      <w:tr w14:paraId="3575E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E08969A">
            <w:pPr>
              <w:spacing w:line="269" w:lineRule="auto"/>
              <w:rPr>
                <w:rFonts w:ascii="Arial"/>
                <w:sz w:val="21"/>
              </w:rPr>
            </w:pPr>
          </w:p>
          <w:p w14:paraId="43CE6A18">
            <w:pPr>
              <w:spacing w:line="269" w:lineRule="auto"/>
              <w:rPr>
                <w:rFonts w:ascii="Arial"/>
                <w:sz w:val="21"/>
              </w:rPr>
            </w:pPr>
          </w:p>
          <w:p w14:paraId="58310F29">
            <w:pPr>
              <w:spacing w:line="269" w:lineRule="auto"/>
              <w:rPr>
                <w:rFonts w:ascii="Arial"/>
                <w:sz w:val="21"/>
              </w:rPr>
            </w:pPr>
          </w:p>
          <w:p w14:paraId="6B10A00A">
            <w:pPr>
              <w:spacing w:line="270" w:lineRule="auto"/>
              <w:rPr>
                <w:rFonts w:ascii="Arial"/>
                <w:sz w:val="21"/>
              </w:rPr>
            </w:pPr>
          </w:p>
          <w:p w14:paraId="59E01E67">
            <w:pPr>
              <w:spacing w:line="270" w:lineRule="auto"/>
              <w:rPr>
                <w:rFonts w:ascii="Arial"/>
                <w:sz w:val="21"/>
              </w:rPr>
            </w:pPr>
          </w:p>
          <w:p w14:paraId="2FBCA5E5">
            <w:pPr>
              <w:spacing w:line="270" w:lineRule="auto"/>
              <w:rPr>
                <w:rFonts w:ascii="Arial"/>
                <w:sz w:val="21"/>
              </w:rPr>
            </w:pPr>
          </w:p>
          <w:p w14:paraId="1784E43F">
            <w:pPr>
              <w:spacing w:line="270" w:lineRule="auto"/>
              <w:rPr>
                <w:rFonts w:ascii="Arial"/>
                <w:sz w:val="21"/>
              </w:rPr>
            </w:pPr>
          </w:p>
          <w:p w14:paraId="508102C6">
            <w:pPr>
              <w:jc w:val="center"/>
              <w:rPr>
                <w:b/>
                <w:bCs/>
              </w:rPr>
            </w:pPr>
          </w:p>
          <w:p w14:paraId="58ADB55C">
            <w:pPr>
              <w:jc w:val="center"/>
              <w:rPr>
                <w:b/>
                <w:bCs/>
              </w:rPr>
            </w:pPr>
            <w:r>
              <w:rPr>
                <w:b/>
                <w:bCs/>
              </w:rPr>
              <w:t>年</w:t>
            </w:r>
          </w:p>
          <w:p w14:paraId="6273E709">
            <w:pPr>
              <w:jc w:val="center"/>
              <w:rPr>
                <w:b/>
                <w:bCs/>
              </w:rPr>
            </w:pPr>
            <w:r>
              <w:rPr>
                <w:b/>
                <w:bCs/>
              </w:rPr>
              <w:t>度</w:t>
            </w:r>
          </w:p>
          <w:p w14:paraId="2580AD35">
            <w:pPr>
              <w:jc w:val="center"/>
              <w:rPr>
                <w:b/>
                <w:bCs/>
              </w:rPr>
            </w:pPr>
            <w:r>
              <w:rPr>
                <w:b/>
                <w:bCs/>
              </w:rPr>
              <w:t>绩</w:t>
            </w:r>
          </w:p>
          <w:p w14:paraId="6FC2B4E5">
            <w:pPr>
              <w:jc w:val="center"/>
              <w:rPr>
                <w:b/>
                <w:bCs/>
              </w:rPr>
            </w:pPr>
            <w:r>
              <w:rPr>
                <w:b/>
                <w:bCs/>
              </w:rPr>
              <w:t>效</w:t>
            </w:r>
          </w:p>
          <w:p w14:paraId="5B9E0CA4">
            <w:pPr>
              <w:jc w:val="center"/>
              <w:rPr>
                <w:b/>
                <w:bCs/>
              </w:rPr>
            </w:pPr>
            <w:r>
              <w:rPr>
                <w:b/>
                <w:bCs/>
              </w:rPr>
              <w:t>目</w:t>
            </w:r>
          </w:p>
          <w:p w14:paraId="7F2E1563">
            <w:pPr>
              <w:jc w:val="center"/>
              <w:rPr>
                <w:b/>
                <w:bCs/>
              </w:rPr>
            </w:pPr>
            <w:r>
              <w:rPr>
                <w:b/>
                <w:bCs/>
              </w:rPr>
              <w:t>标</w:t>
            </w:r>
          </w:p>
          <w:p w14:paraId="4ED0D613">
            <w:pPr>
              <w:jc w:val="center"/>
              <w:rPr>
                <w:b/>
                <w:bCs/>
              </w:rPr>
            </w:pPr>
            <w:r>
              <w:rPr>
                <w:b/>
                <w:bCs/>
              </w:rPr>
              <w:t>1</w:t>
            </w:r>
          </w:p>
          <w:p w14:paraId="62060DEF">
            <w:pPr>
              <w:jc w:val="center"/>
              <w:rPr>
                <w:rFonts w:ascii="宋体" w:hAnsi="宋体" w:eastAsia="宋体" w:cs="宋体"/>
                <w:sz w:val="22"/>
                <w:szCs w:val="22"/>
              </w:rPr>
            </w:pPr>
            <w:r>
              <w:rPr>
                <w:b/>
                <w:bCs/>
              </w:rPr>
              <w:t>(XX分 )</w:t>
            </w:r>
          </w:p>
        </w:tc>
        <w:tc>
          <w:tcPr>
            <w:tcW w:w="689" w:type="dxa"/>
            <w:noWrap w:val="0"/>
            <w:vAlign w:val="top"/>
          </w:tcPr>
          <w:p w14:paraId="650B7DC0">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61A6DD1A">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16D13A35">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1E35106">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C312E63">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4BBBF945">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69C7B925">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0B0C80A9">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9F80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21063BB7">
            <w:pPr>
              <w:rPr>
                <w:rFonts w:ascii="Arial"/>
                <w:sz w:val="21"/>
              </w:rPr>
            </w:pPr>
          </w:p>
        </w:tc>
        <w:tc>
          <w:tcPr>
            <w:tcW w:w="689" w:type="dxa"/>
            <w:vMerge w:val="restart"/>
            <w:tcBorders>
              <w:bottom w:val="nil"/>
            </w:tcBorders>
            <w:noWrap w:val="0"/>
            <w:vAlign w:val="top"/>
          </w:tcPr>
          <w:p w14:paraId="1C7BD918">
            <w:pPr>
              <w:rPr>
                <w:b/>
                <w:bCs/>
              </w:rPr>
            </w:pPr>
          </w:p>
          <w:p w14:paraId="3EA8F6A9">
            <w:pPr>
              <w:rPr>
                <w:b/>
                <w:bCs/>
              </w:rPr>
            </w:pPr>
          </w:p>
          <w:p w14:paraId="166B8AD4">
            <w:pPr>
              <w:rPr>
                <w:b/>
                <w:bCs/>
              </w:rPr>
            </w:pPr>
          </w:p>
          <w:p w14:paraId="4D18762A">
            <w:pPr>
              <w:jc w:val="center"/>
              <w:rPr>
                <w:b/>
                <w:bCs/>
              </w:rPr>
            </w:pPr>
            <w:r>
              <w:rPr>
                <w:b/>
                <w:bCs/>
              </w:rPr>
              <w:t>产出</w:t>
            </w:r>
          </w:p>
          <w:p w14:paraId="58DA9BA6">
            <w:pPr>
              <w:jc w:val="center"/>
              <w:rPr>
                <w:rFonts w:hint="eastAsia" w:eastAsia="宋体"/>
                <w:b/>
                <w:bCs/>
                <w:lang w:val="en-US" w:eastAsia="zh-CN"/>
              </w:rPr>
            </w:pPr>
            <w:r>
              <w:rPr>
                <w:rFonts w:hint="eastAsia"/>
                <w:b/>
                <w:bCs/>
                <w:lang w:val="en-US" w:eastAsia="zh-CN"/>
              </w:rPr>
              <w:t>指标</w:t>
            </w:r>
          </w:p>
        </w:tc>
        <w:tc>
          <w:tcPr>
            <w:tcW w:w="1119" w:type="dxa"/>
            <w:noWrap w:val="0"/>
            <w:vAlign w:val="top"/>
          </w:tcPr>
          <w:p w14:paraId="53161BC7">
            <w:pPr>
              <w:jc w:val="center"/>
              <w:rPr>
                <w:rFonts w:ascii="Arial"/>
                <w:kern w:val="2"/>
                <w:sz w:val="21"/>
                <w:lang w:val="en-US" w:eastAsia="zh-CN" w:bidi="ar-SA"/>
              </w:rPr>
            </w:pPr>
            <w:r>
              <w:rPr>
                <w:rFonts w:hint="eastAsia" w:ascii="Arial"/>
                <w:sz w:val="21"/>
              </w:rPr>
              <w:t>质量指标</w:t>
            </w:r>
          </w:p>
        </w:tc>
        <w:tc>
          <w:tcPr>
            <w:tcW w:w="2647" w:type="dxa"/>
            <w:gridSpan w:val="3"/>
            <w:noWrap w:val="0"/>
            <w:vAlign w:val="top"/>
          </w:tcPr>
          <w:p w14:paraId="4EE79A45">
            <w:pPr>
              <w:jc w:val="center"/>
              <w:rPr>
                <w:rFonts w:hint="default" w:ascii="Arial" w:eastAsia="宋体"/>
                <w:kern w:val="2"/>
                <w:sz w:val="21"/>
                <w:lang w:val="en-US" w:eastAsia="zh-CN" w:bidi="ar-SA"/>
              </w:rPr>
            </w:pPr>
            <w:r>
              <w:rPr>
                <w:rFonts w:hint="eastAsia" w:ascii="Arial"/>
                <w:sz w:val="21"/>
                <w:lang w:val="en-US" w:eastAsia="zh-CN"/>
              </w:rPr>
              <w:t>质量通过检验</w:t>
            </w:r>
          </w:p>
        </w:tc>
        <w:tc>
          <w:tcPr>
            <w:tcW w:w="1458" w:type="dxa"/>
            <w:noWrap w:val="0"/>
            <w:vAlign w:val="top"/>
          </w:tcPr>
          <w:p w14:paraId="4D1CE344">
            <w:pPr>
              <w:jc w:val="center"/>
              <w:rPr>
                <w:rFonts w:hint="eastAsia" w:ascii="Arial" w:eastAsia="宋体"/>
                <w:kern w:val="2"/>
                <w:sz w:val="21"/>
                <w:lang w:val="en-US" w:eastAsia="zh-CN" w:bidi="ar-SA"/>
              </w:rPr>
            </w:pPr>
            <w:r>
              <w:rPr>
                <w:rFonts w:hint="eastAsia" w:ascii="Arial"/>
                <w:sz w:val="21"/>
                <w:lang w:val="en-US" w:eastAsia="zh-CN"/>
              </w:rPr>
              <w:t>通过</w:t>
            </w:r>
          </w:p>
        </w:tc>
        <w:tc>
          <w:tcPr>
            <w:tcW w:w="1318" w:type="dxa"/>
            <w:gridSpan w:val="2"/>
            <w:noWrap w:val="0"/>
            <w:vAlign w:val="top"/>
          </w:tcPr>
          <w:p w14:paraId="69D3205C">
            <w:pPr>
              <w:jc w:val="center"/>
              <w:rPr>
                <w:rFonts w:hint="eastAsia" w:ascii="Arial" w:eastAsia="宋体"/>
                <w:kern w:val="2"/>
                <w:sz w:val="21"/>
                <w:lang w:val="en-US" w:eastAsia="zh-CN" w:bidi="ar-SA"/>
              </w:rPr>
            </w:pPr>
            <w:r>
              <w:rPr>
                <w:rFonts w:hint="eastAsia" w:ascii="Arial"/>
                <w:sz w:val="21"/>
                <w:lang w:val="en-US" w:eastAsia="zh-CN"/>
              </w:rPr>
              <w:t>通过</w:t>
            </w:r>
          </w:p>
        </w:tc>
        <w:tc>
          <w:tcPr>
            <w:tcW w:w="884" w:type="dxa"/>
            <w:noWrap w:val="0"/>
            <w:vAlign w:val="top"/>
          </w:tcPr>
          <w:p w14:paraId="13CBFE49">
            <w:pPr>
              <w:jc w:val="center"/>
              <w:rPr>
                <w:rFonts w:hint="default" w:ascii="Arial" w:eastAsia="宋体"/>
                <w:kern w:val="2"/>
                <w:sz w:val="21"/>
                <w:lang w:val="en-US" w:eastAsia="zh-CN" w:bidi="ar-SA"/>
              </w:rPr>
            </w:pPr>
            <w:r>
              <w:rPr>
                <w:rFonts w:hint="eastAsia" w:ascii="Arial"/>
                <w:sz w:val="21"/>
                <w:lang w:val="en-US" w:eastAsia="zh-CN"/>
              </w:rPr>
              <w:t>20</w:t>
            </w:r>
          </w:p>
        </w:tc>
      </w:tr>
      <w:tr w14:paraId="39078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E61AF02">
            <w:pPr>
              <w:rPr>
                <w:rFonts w:ascii="Arial"/>
                <w:sz w:val="21"/>
              </w:rPr>
            </w:pPr>
          </w:p>
        </w:tc>
        <w:tc>
          <w:tcPr>
            <w:tcW w:w="689" w:type="dxa"/>
            <w:vMerge w:val="continue"/>
            <w:tcBorders>
              <w:top w:val="nil"/>
              <w:bottom w:val="nil"/>
            </w:tcBorders>
            <w:noWrap w:val="0"/>
            <w:vAlign w:val="top"/>
          </w:tcPr>
          <w:p w14:paraId="498C7A4D">
            <w:pPr>
              <w:rPr>
                <w:b/>
                <w:bCs/>
              </w:rPr>
            </w:pPr>
          </w:p>
        </w:tc>
        <w:tc>
          <w:tcPr>
            <w:tcW w:w="1119" w:type="dxa"/>
            <w:noWrap w:val="0"/>
            <w:vAlign w:val="top"/>
          </w:tcPr>
          <w:p w14:paraId="74C8A0F8">
            <w:pPr>
              <w:jc w:val="center"/>
              <w:rPr>
                <w:rFonts w:ascii="Arial"/>
                <w:sz w:val="21"/>
              </w:rPr>
            </w:pPr>
          </w:p>
        </w:tc>
        <w:tc>
          <w:tcPr>
            <w:tcW w:w="2647" w:type="dxa"/>
            <w:gridSpan w:val="3"/>
            <w:noWrap w:val="0"/>
            <w:vAlign w:val="top"/>
          </w:tcPr>
          <w:p w14:paraId="5BE9EF51">
            <w:pPr>
              <w:jc w:val="center"/>
              <w:rPr>
                <w:rFonts w:ascii="Arial"/>
                <w:sz w:val="21"/>
              </w:rPr>
            </w:pPr>
          </w:p>
        </w:tc>
        <w:tc>
          <w:tcPr>
            <w:tcW w:w="1458" w:type="dxa"/>
            <w:noWrap w:val="0"/>
            <w:vAlign w:val="top"/>
          </w:tcPr>
          <w:p w14:paraId="2B2A4BD3">
            <w:pPr>
              <w:jc w:val="center"/>
              <w:rPr>
                <w:rFonts w:ascii="Arial"/>
                <w:sz w:val="21"/>
              </w:rPr>
            </w:pPr>
          </w:p>
        </w:tc>
        <w:tc>
          <w:tcPr>
            <w:tcW w:w="1318" w:type="dxa"/>
            <w:gridSpan w:val="2"/>
            <w:noWrap w:val="0"/>
            <w:vAlign w:val="top"/>
          </w:tcPr>
          <w:p w14:paraId="21A791A8">
            <w:pPr>
              <w:jc w:val="center"/>
              <w:rPr>
                <w:rFonts w:ascii="Arial"/>
                <w:sz w:val="21"/>
              </w:rPr>
            </w:pPr>
          </w:p>
        </w:tc>
        <w:tc>
          <w:tcPr>
            <w:tcW w:w="884" w:type="dxa"/>
            <w:noWrap w:val="0"/>
            <w:vAlign w:val="top"/>
          </w:tcPr>
          <w:p w14:paraId="5AB2DB02">
            <w:pPr>
              <w:jc w:val="center"/>
              <w:rPr>
                <w:rFonts w:hint="default" w:ascii="Arial" w:eastAsia="宋体"/>
                <w:sz w:val="21"/>
                <w:lang w:val="en-US" w:eastAsia="zh-CN"/>
              </w:rPr>
            </w:pPr>
          </w:p>
        </w:tc>
      </w:tr>
      <w:tr w14:paraId="3F0DF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0C45A440">
            <w:pPr>
              <w:jc w:val="center"/>
              <w:rPr>
                <w:rFonts w:ascii="Arial"/>
                <w:sz w:val="21"/>
              </w:rPr>
            </w:pPr>
          </w:p>
        </w:tc>
        <w:tc>
          <w:tcPr>
            <w:tcW w:w="689" w:type="dxa"/>
            <w:vMerge w:val="continue"/>
            <w:tcBorders>
              <w:top w:val="nil"/>
              <w:bottom w:val="nil"/>
            </w:tcBorders>
            <w:noWrap w:val="0"/>
            <w:vAlign w:val="top"/>
          </w:tcPr>
          <w:p w14:paraId="7DCE988B">
            <w:pPr>
              <w:jc w:val="center"/>
              <w:rPr>
                <w:b/>
                <w:bCs/>
              </w:rPr>
            </w:pPr>
          </w:p>
        </w:tc>
        <w:tc>
          <w:tcPr>
            <w:tcW w:w="1119" w:type="dxa"/>
            <w:noWrap w:val="0"/>
            <w:vAlign w:val="top"/>
          </w:tcPr>
          <w:p w14:paraId="56860876">
            <w:pPr>
              <w:jc w:val="center"/>
              <w:rPr>
                <w:rFonts w:hint="eastAsia" w:ascii="Arial" w:hAnsi="Calibri" w:eastAsia="宋体" w:cs="Times New Roman"/>
                <w:sz w:val="21"/>
              </w:rPr>
            </w:pPr>
          </w:p>
        </w:tc>
        <w:tc>
          <w:tcPr>
            <w:tcW w:w="2647" w:type="dxa"/>
            <w:gridSpan w:val="3"/>
            <w:noWrap w:val="0"/>
            <w:vAlign w:val="top"/>
          </w:tcPr>
          <w:p w14:paraId="16F48701">
            <w:pPr>
              <w:jc w:val="center"/>
              <w:rPr>
                <w:rFonts w:hint="eastAsia" w:ascii="Arial" w:hAnsi="Calibri" w:eastAsia="宋体" w:cs="Times New Roman"/>
                <w:sz w:val="21"/>
              </w:rPr>
            </w:pPr>
          </w:p>
        </w:tc>
        <w:tc>
          <w:tcPr>
            <w:tcW w:w="1458" w:type="dxa"/>
            <w:noWrap w:val="0"/>
            <w:vAlign w:val="top"/>
          </w:tcPr>
          <w:p w14:paraId="3DC90BCA">
            <w:pPr>
              <w:jc w:val="center"/>
              <w:rPr>
                <w:rFonts w:ascii="Arial"/>
                <w:sz w:val="21"/>
              </w:rPr>
            </w:pPr>
          </w:p>
        </w:tc>
        <w:tc>
          <w:tcPr>
            <w:tcW w:w="1318" w:type="dxa"/>
            <w:gridSpan w:val="2"/>
            <w:noWrap w:val="0"/>
            <w:vAlign w:val="top"/>
          </w:tcPr>
          <w:p w14:paraId="2CD67A70">
            <w:pPr>
              <w:jc w:val="center"/>
              <w:rPr>
                <w:rFonts w:ascii="Arial"/>
                <w:sz w:val="21"/>
              </w:rPr>
            </w:pPr>
          </w:p>
        </w:tc>
        <w:tc>
          <w:tcPr>
            <w:tcW w:w="884" w:type="dxa"/>
            <w:noWrap w:val="0"/>
            <w:vAlign w:val="top"/>
          </w:tcPr>
          <w:p w14:paraId="38EAC5C1">
            <w:pPr>
              <w:jc w:val="center"/>
              <w:rPr>
                <w:rFonts w:hint="default" w:ascii="Arial" w:eastAsia="宋体"/>
                <w:sz w:val="21"/>
                <w:lang w:val="en-US" w:eastAsia="zh-CN"/>
              </w:rPr>
            </w:pPr>
          </w:p>
        </w:tc>
      </w:tr>
      <w:tr w14:paraId="6DC3E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95C5C21">
            <w:pPr>
              <w:jc w:val="center"/>
              <w:rPr>
                <w:rFonts w:ascii="Arial"/>
                <w:sz w:val="21"/>
              </w:rPr>
            </w:pPr>
          </w:p>
        </w:tc>
        <w:tc>
          <w:tcPr>
            <w:tcW w:w="689" w:type="dxa"/>
            <w:vMerge w:val="continue"/>
            <w:tcBorders>
              <w:top w:val="nil"/>
            </w:tcBorders>
            <w:noWrap w:val="0"/>
            <w:vAlign w:val="top"/>
          </w:tcPr>
          <w:p w14:paraId="16285F80">
            <w:pPr>
              <w:jc w:val="center"/>
              <w:rPr>
                <w:b/>
                <w:bCs/>
              </w:rPr>
            </w:pPr>
          </w:p>
        </w:tc>
        <w:tc>
          <w:tcPr>
            <w:tcW w:w="1119" w:type="dxa"/>
            <w:noWrap w:val="0"/>
            <w:vAlign w:val="top"/>
          </w:tcPr>
          <w:p w14:paraId="2E925A0E">
            <w:pPr>
              <w:spacing w:before="176" w:line="343" w:lineRule="exact"/>
              <w:ind w:left="331"/>
              <w:jc w:val="center"/>
              <w:rPr>
                <w:rFonts w:ascii="宋体" w:hAnsi="宋体" w:eastAsia="宋体" w:cs="宋体"/>
                <w:sz w:val="21"/>
                <w:szCs w:val="21"/>
              </w:rPr>
            </w:pPr>
            <w:r>
              <w:rPr>
                <w:rFonts w:ascii="宋体" w:hAnsi="宋体" w:eastAsia="宋体" w:cs="宋体"/>
                <w:spacing w:val="-6"/>
                <w:position w:val="2"/>
                <w:sz w:val="21"/>
                <w:szCs w:val="21"/>
              </w:rPr>
              <w:t>……</w:t>
            </w:r>
          </w:p>
        </w:tc>
        <w:tc>
          <w:tcPr>
            <w:tcW w:w="2647" w:type="dxa"/>
            <w:gridSpan w:val="3"/>
            <w:noWrap w:val="0"/>
            <w:vAlign w:val="top"/>
          </w:tcPr>
          <w:p w14:paraId="48846381">
            <w:pPr>
              <w:jc w:val="center"/>
              <w:rPr>
                <w:rFonts w:ascii="Arial"/>
                <w:sz w:val="21"/>
                <w:szCs w:val="21"/>
              </w:rPr>
            </w:pPr>
          </w:p>
        </w:tc>
        <w:tc>
          <w:tcPr>
            <w:tcW w:w="1458" w:type="dxa"/>
            <w:noWrap w:val="0"/>
            <w:vAlign w:val="top"/>
          </w:tcPr>
          <w:p w14:paraId="3EAA9902">
            <w:pPr>
              <w:jc w:val="center"/>
              <w:rPr>
                <w:rFonts w:ascii="Arial"/>
                <w:sz w:val="21"/>
              </w:rPr>
            </w:pPr>
          </w:p>
        </w:tc>
        <w:tc>
          <w:tcPr>
            <w:tcW w:w="1318" w:type="dxa"/>
            <w:gridSpan w:val="2"/>
            <w:noWrap w:val="0"/>
            <w:vAlign w:val="top"/>
          </w:tcPr>
          <w:p w14:paraId="0B6B83AA">
            <w:pPr>
              <w:jc w:val="center"/>
              <w:rPr>
                <w:rFonts w:ascii="Arial"/>
                <w:sz w:val="21"/>
              </w:rPr>
            </w:pPr>
          </w:p>
        </w:tc>
        <w:tc>
          <w:tcPr>
            <w:tcW w:w="884" w:type="dxa"/>
            <w:noWrap w:val="0"/>
            <w:vAlign w:val="top"/>
          </w:tcPr>
          <w:p w14:paraId="6CBA4D1B">
            <w:pPr>
              <w:jc w:val="center"/>
              <w:rPr>
                <w:rFonts w:ascii="Arial"/>
                <w:sz w:val="21"/>
              </w:rPr>
            </w:pPr>
          </w:p>
        </w:tc>
      </w:tr>
      <w:tr w14:paraId="49C51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6F28D304">
            <w:pPr>
              <w:jc w:val="center"/>
              <w:rPr>
                <w:rFonts w:ascii="Arial"/>
                <w:sz w:val="21"/>
              </w:rPr>
            </w:pPr>
          </w:p>
        </w:tc>
        <w:tc>
          <w:tcPr>
            <w:tcW w:w="689" w:type="dxa"/>
            <w:vMerge w:val="restart"/>
            <w:tcBorders>
              <w:bottom w:val="nil"/>
            </w:tcBorders>
            <w:noWrap w:val="0"/>
            <w:vAlign w:val="top"/>
          </w:tcPr>
          <w:p w14:paraId="22A7D89A">
            <w:pPr>
              <w:jc w:val="center"/>
              <w:rPr>
                <w:rFonts w:ascii="Calibri" w:hAnsi="Calibri" w:eastAsia="宋体" w:cs="Times New Roman"/>
                <w:b/>
                <w:bCs/>
              </w:rPr>
            </w:pPr>
          </w:p>
          <w:p w14:paraId="7F3DCEE6">
            <w:pPr>
              <w:jc w:val="center"/>
              <w:rPr>
                <w:rFonts w:ascii="Calibri" w:hAnsi="Calibri" w:eastAsia="宋体" w:cs="Times New Roman"/>
                <w:b/>
                <w:bCs/>
              </w:rPr>
            </w:pPr>
          </w:p>
          <w:p w14:paraId="07344B8F">
            <w:pPr>
              <w:jc w:val="center"/>
              <w:rPr>
                <w:rFonts w:ascii="Calibri" w:hAnsi="Calibri" w:eastAsia="宋体" w:cs="Times New Roman"/>
                <w:b/>
                <w:bCs/>
              </w:rPr>
            </w:pPr>
          </w:p>
          <w:p w14:paraId="24F93175">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top"/>
          </w:tcPr>
          <w:p w14:paraId="62D16B48">
            <w:pPr>
              <w:jc w:val="center"/>
              <w:rPr>
                <w:rFonts w:hint="eastAsia" w:ascii="Arial" w:hAnsi="Calibri" w:eastAsia="宋体" w:cs="Times New Roman"/>
                <w:sz w:val="21"/>
              </w:rPr>
            </w:pPr>
            <w:r>
              <w:rPr>
                <w:rFonts w:hint="eastAsia" w:ascii="Arial" w:hAnsi="Calibri" w:eastAsia="宋体" w:cs="Times New Roman"/>
                <w:sz w:val="21"/>
                <w:lang w:val="en-US" w:eastAsia="zh-CN"/>
              </w:rPr>
              <w:t>社会</w:t>
            </w:r>
            <w:r>
              <w:rPr>
                <w:rFonts w:hint="eastAsia" w:ascii="Arial" w:hAnsi="Calibri" w:eastAsia="宋体" w:cs="Times New Roman"/>
                <w:sz w:val="21"/>
              </w:rPr>
              <w:t>效益指标</w:t>
            </w:r>
          </w:p>
        </w:tc>
        <w:tc>
          <w:tcPr>
            <w:tcW w:w="2647" w:type="dxa"/>
            <w:gridSpan w:val="3"/>
            <w:noWrap w:val="0"/>
            <w:vAlign w:val="top"/>
          </w:tcPr>
          <w:p w14:paraId="55F373CA">
            <w:pPr>
              <w:jc w:val="center"/>
              <w:rPr>
                <w:rFonts w:hint="eastAsia" w:ascii="Arial" w:hAnsi="Calibri" w:eastAsia="宋体" w:cs="Times New Roman"/>
                <w:sz w:val="21"/>
              </w:rPr>
            </w:pPr>
            <w:r>
              <w:rPr>
                <w:rFonts w:hint="eastAsia" w:ascii="Arial" w:hAnsi="Calibri" w:eastAsia="宋体" w:cs="Times New Roman"/>
                <w:sz w:val="21"/>
                <w:lang w:val="en-US" w:eastAsia="zh-CN"/>
              </w:rPr>
              <w:t>提高档案利用率，促进工作开展</w:t>
            </w:r>
          </w:p>
        </w:tc>
        <w:tc>
          <w:tcPr>
            <w:tcW w:w="1458" w:type="dxa"/>
            <w:noWrap w:val="0"/>
            <w:vAlign w:val="top"/>
          </w:tcPr>
          <w:p w14:paraId="437C515A">
            <w:pPr>
              <w:jc w:val="center"/>
              <w:rPr>
                <w:rFonts w:hint="eastAsia" w:ascii="Arial" w:eastAsia="宋体"/>
                <w:kern w:val="2"/>
                <w:sz w:val="21"/>
                <w:lang w:val="en-US" w:eastAsia="zh-CN" w:bidi="ar-SA"/>
              </w:rPr>
            </w:pPr>
            <w:r>
              <w:rPr>
                <w:rFonts w:hint="eastAsia" w:ascii="Arial"/>
                <w:sz w:val="21"/>
                <w:lang w:val="en-US" w:eastAsia="zh-CN"/>
              </w:rPr>
              <w:t>提高</w:t>
            </w:r>
          </w:p>
        </w:tc>
        <w:tc>
          <w:tcPr>
            <w:tcW w:w="1318" w:type="dxa"/>
            <w:gridSpan w:val="2"/>
            <w:noWrap w:val="0"/>
            <w:vAlign w:val="top"/>
          </w:tcPr>
          <w:p w14:paraId="33F33CC7">
            <w:pPr>
              <w:jc w:val="center"/>
              <w:rPr>
                <w:rFonts w:hint="eastAsia" w:ascii="Arial" w:eastAsia="宋体"/>
                <w:kern w:val="2"/>
                <w:sz w:val="21"/>
                <w:lang w:val="en-US" w:eastAsia="zh-CN" w:bidi="ar-SA"/>
              </w:rPr>
            </w:pPr>
            <w:r>
              <w:rPr>
                <w:rFonts w:hint="eastAsia" w:ascii="Arial"/>
                <w:sz w:val="21"/>
                <w:lang w:val="en-US" w:eastAsia="zh-CN"/>
              </w:rPr>
              <w:t>提高</w:t>
            </w:r>
          </w:p>
        </w:tc>
        <w:tc>
          <w:tcPr>
            <w:tcW w:w="884" w:type="dxa"/>
            <w:noWrap w:val="0"/>
            <w:vAlign w:val="top"/>
          </w:tcPr>
          <w:p w14:paraId="57DADFCD">
            <w:pPr>
              <w:jc w:val="center"/>
              <w:rPr>
                <w:rFonts w:hint="default" w:ascii="Arial" w:eastAsia="宋体"/>
                <w:sz w:val="21"/>
                <w:lang w:val="en-US" w:eastAsia="zh-CN"/>
              </w:rPr>
            </w:pPr>
            <w:r>
              <w:rPr>
                <w:rFonts w:hint="eastAsia" w:ascii="Arial"/>
                <w:sz w:val="21"/>
                <w:lang w:val="en-US" w:eastAsia="zh-CN"/>
              </w:rPr>
              <w:t>20</w:t>
            </w:r>
          </w:p>
        </w:tc>
      </w:tr>
      <w:tr w14:paraId="555A9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D743905">
            <w:pPr>
              <w:rPr>
                <w:rFonts w:ascii="Arial"/>
                <w:sz w:val="21"/>
              </w:rPr>
            </w:pPr>
          </w:p>
        </w:tc>
        <w:tc>
          <w:tcPr>
            <w:tcW w:w="689" w:type="dxa"/>
            <w:vMerge w:val="continue"/>
            <w:tcBorders>
              <w:top w:val="nil"/>
              <w:bottom w:val="nil"/>
            </w:tcBorders>
            <w:noWrap w:val="0"/>
            <w:vAlign w:val="top"/>
          </w:tcPr>
          <w:p w14:paraId="75F0B4E2">
            <w:pPr>
              <w:jc w:val="center"/>
              <w:rPr>
                <w:rFonts w:ascii="Calibri" w:hAnsi="Calibri" w:eastAsia="宋体" w:cs="Times New Roman"/>
                <w:b/>
                <w:bCs/>
              </w:rPr>
            </w:pPr>
          </w:p>
        </w:tc>
        <w:tc>
          <w:tcPr>
            <w:tcW w:w="1119" w:type="dxa"/>
            <w:noWrap w:val="0"/>
            <w:vAlign w:val="top"/>
          </w:tcPr>
          <w:p w14:paraId="798ACD5E">
            <w:pPr>
              <w:jc w:val="center"/>
              <w:rPr>
                <w:rFonts w:hint="eastAsia" w:ascii="Arial" w:hAnsi="Calibri" w:eastAsia="宋体" w:cs="Times New Roman"/>
                <w:sz w:val="21"/>
                <w:lang w:val="en-US" w:eastAsia="zh-CN"/>
              </w:rPr>
            </w:pPr>
            <w:r>
              <w:rPr>
                <w:rFonts w:hint="eastAsia" w:ascii="Arial" w:hAnsi="Calibri" w:eastAsia="宋体" w:cs="Times New Roman"/>
                <w:sz w:val="21"/>
                <w:lang w:val="en-US" w:eastAsia="zh-CN"/>
              </w:rPr>
              <w:t>经济效益指标</w:t>
            </w:r>
          </w:p>
        </w:tc>
        <w:tc>
          <w:tcPr>
            <w:tcW w:w="2647" w:type="dxa"/>
            <w:gridSpan w:val="3"/>
            <w:noWrap w:val="0"/>
            <w:vAlign w:val="top"/>
          </w:tcPr>
          <w:p w14:paraId="10775690">
            <w:pPr>
              <w:jc w:val="center"/>
              <w:rPr>
                <w:rFonts w:hint="default" w:ascii="Arial" w:hAnsi="Calibri" w:eastAsia="宋体" w:cs="Times New Roman"/>
                <w:sz w:val="21"/>
                <w:lang w:val="en-US" w:eastAsia="zh-CN"/>
              </w:rPr>
            </w:pPr>
            <w:r>
              <w:rPr>
                <w:rFonts w:hint="eastAsia" w:ascii="Arial" w:hAnsi="Calibri" w:eastAsia="宋体" w:cs="Times New Roman"/>
                <w:sz w:val="21"/>
                <w:lang w:val="en-US" w:eastAsia="zh-CN"/>
              </w:rPr>
              <w:t xml:space="preserve">尽可能减少成本、节约资金  </w:t>
            </w:r>
          </w:p>
        </w:tc>
        <w:tc>
          <w:tcPr>
            <w:tcW w:w="1458" w:type="dxa"/>
            <w:noWrap w:val="0"/>
            <w:vAlign w:val="top"/>
          </w:tcPr>
          <w:p w14:paraId="4BCFE523">
            <w:pPr>
              <w:jc w:val="center"/>
              <w:rPr>
                <w:rFonts w:hint="default" w:ascii="Arial" w:eastAsia="宋体"/>
                <w:sz w:val="21"/>
                <w:lang w:val="en-US" w:eastAsia="zh-CN"/>
              </w:rPr>
            </w:pPr>
            <w:r>
              <w:rPr>
                <w:rFonts w:hint="eastAsia" w:ascii="Arial" w:eastAsia="宋体"/>
                <w:sz w:val="21"/>
                <w:lang w:val="en-US" w:eastAsia="zh-CN"/>
              </w:rPr>
              <w:t>减少</w:t>
            </w:r>
          </w:p>
        </w:tc>
        <w:tc>
          <w:tcPr>
            <w:tcW w:w="1318" w:type="dxa"/>
            <w:gridSpan w:val="2"/>
            <w:noWrap w:val="0"/>
            <w:vAlign w:val="top"/>
          </w:tcPr>
          <w:p w14:paraId="245629B0">
            <w:pPr>
              <w:jc w:val="center"/>
              <w:rPr>
                <w:rFonts w:hint="default" w:ascii="Arial" w:eastAsia="宋体"/>
                <w:sz w:val="21"/>
                <w:lang w:val="en-US" w:eastAsia="zh-CN"/>
              </w:rPr>
            </w:pPr>
            <w:r>
              <w:rPr>
                <w:rFonts w:hint="eastAsia" w:ascii="Arial" w:eastAsia="宋体"/>
                <w:sz w:val="21"/>
                <w:lang w:val="en-US" w:eastAsia="zh-CN"/>
              </w:rPr>
              <w:t>减少</w:t>
            </w:r>
          </w:p>
        </w:tc>
        <w:tc>
          <w:tcPr>
            <w:tcW w:w="884" w:type="dxa"/>
            <w:noWrap w:val="0"/>
            <w:vAlign w:val="top"/>
          </w:tcPr>
          <w:p w14:paraId="3538B9F3">
            <w:pPr>
              <w:jc w:val="center"/>
              <w:rPr>
                <w:rFonts w:hint="default" w:ascii="Arial" w:eastAsia="宋体"/>
                <w:sz w:val="21"/>
                <w:lang w:val="en-US" w:eastAsia="zh-CN"/>
              </w:rPr>
            </w:pPr>
            <w:r>
              <w:rPr>
                <w:rFonts w:hint="eastAsia" w:ascii="Arial" w:eastAsia="宋体"/>
                <w:sz w:val="21"/>
                <w:lang w:val="en-US" w:eastAsia="zh-CN"/>
              </w:rPr>
              <w:t>20</w:t>
            </w:r>
          </w:p>
        </w:tc>
      </w:tr>
      <w:tr w14:paraId="1709E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BC50E75">
            <w:pPr>
              <w:rPr>
                <w:rFonts w:ascii="Arial"/>
                <w:sz w:val="21"/>
              </w:rPr>
            </w:pPr>
          </w:p>
        </w:tc>
        <w:tc>
          <w:tcPr>
            <w:tcW w:w="689" w:type="dxa"/>
            <w:vMerge w:val="continue"/>
            <w:tcBorders>
              <w:top w:val="nil"/>
              <w:bottom w:val="nil"/>
            </w:tcBorders>
            <w:noWrap w:val="0"/>
            <w:vAlign w:val="top"/>
          </w:tcPr>
          <w:p w14:paraId="4856EA51">
            <w:pPr>
              <w:jc w:val="center"/>
              <w:rPr>
                <w:rFonts w:ascii="Calibri" w:hAnsi="Calibri" w:eastAsia="宋体" w:cs="Times New Roman"/>
                <w:b/>
                <w:bCs/>
              </w:rPr>
            </w:pPr>
          </w:p>
        </w:tc>
        <w:tc>
          <w:tcPr>
            <w:tcW w:w="1119" w:type="dxa"/>
            <w:noWrap w:val="0"/>
            <w:vAlign w:val="top"/>
          </w:tcPr>
          <w:p w14:paraId="50F21E3A">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F30C178">
            <w:pPr>
              <w:rPr>
                <w:rFonts w:ascii="Arial"/>
                <w:sz w:val="21"/>
              </w:rPr>
            </w:pPr>
          </w:p>
        </w:tc>
        <w:tc>
          <w:tcPr>
            <w:tcW w:w="1458" w:type="dxa"/>
            <w:noWrap w:val="0"/>
            <w:vAlign w:val="top"/>
          </w:tcPr>
          <w:p w14:paraId="0E79C2CB">
            <w:pPr>
              <w:rPr>
                <w:rFonts w:ascii="Arial"/>
                <w:sz w:val="21"/>
              </w:rPr>
            </w:pPr>
          </w:p>
        </w:tc>
        <w:tc>
          <w:tcPr>
            <w:tcW w:w="1318" w:type="dxa"/>
            <w:gridSpan w:val="2"/>
            <w:noWrap w:val="0"/>
            <w:vAlign w:val="top"/>
          </w:tcPr>
          <w:p w14:paraId="7BD0F51A">
            <w:pPr>
              <w:rPr>
                <w:rFonts w:ascii="Arial"/>
                <w:sz w:val="21"/>
              </w:rPr>
            </w:pPr>
          </w:p>
        </w:tc>
        <w:tc>
          <w:tcPr>
            <w:tcW w:w="884" w:type="dxa"/>
            <w:noWrap w:val="0"/>
            <w:vAlign w:val="top"/>
          </w:tcPr>
          <w:p w14:paraId="13A1118A">
            <w:pPr>
              <w:rPr>
                <w:rFonts w:ascii="Arial"/>
                <w:sz w:val="21"/>
              </w:rPr>
            </w:pPr>
          </w:p>
        </w:tc>
      </w:tr>
      <w:tr w14:paraId="37A56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AD6CFF2">
            <w:pPr>
              <w:rPr>
                <w:rFonts w:ascii="Arial"/>
                <w:sz w:val="21"/>
              </w:rPr>
            </w:pPr>
          </w:p>
        </w:tc>
        <w:tc>
          <w:tcPr>
            <w:tcW w:w="689" w:type="dxa"/>
            <w:vMerge w:val="continue"/>
            <w:tcBorders>
              <w:top w:val="nil"/>
            </w:tcBorders>
            <w:noWrap w:val="0"/>
            <w:vAlign w:val="top"/>
          </w:tcPr>
          <w:p w14:paraId="61A4180A">
            <w:pPr>
              <w:jc w:val="center"/>
              <w:rPr>
                <w:rFonts w:ascii="Calibri" w:hAnsi="Calibri" w:eastAsia="宋体" w:cs="Times New Roman"/>
                <w:b/>
                <w:bCs/>
              </w:rPr>
            </w:pPr>
          </w:p>
        </w:tc>
        <w:tc>
          <w:tcPr>
            <w:tcW w:w="1119" w:type="dxa"/>
            <w:noWrap w:val="0"/>
            <w:vAlign w:val="top"/>
          </w:tcPr>
          <w:p w14:paraId="70EF2A01">
            <w:pPr>
              <w:rPr>
                <w:rFonts w:ascii="Arial"/>
                <w:sz w:val="21"/>
              </w:rPr>
            </w:pPr>
          </w:p>
        </w:tc>
        <w:tc>
          <w:tcPr>
            <w:tcW w:w="2647" w:type="dxa"/>
            <w:gridSpan w:val="3"/>
            <w:noWrap w:val="0"/>
            <w:vAlign w:val="top"/>
          </w:tcPr>
          <w:p w14:paraId="0C2CD2B7">
            <w:pPr>
              <w:rPr>
                <w:rFonts w:ascii="Arial"/>
                <w:sz w:val="21"/>
              </w:rPr>
            </w:pPr>
          </w:p>
        </w:tc>
        <w:tc>
          <w:tcPr>
            <w:tcW w:w="1458" w:type="dxa"/>
            <w:noWrap w:val="0"/>
            <w:vAlign w:val="top"/>
          </w:tcPr>
          <w:p w14:paraId="4049C8FB">
            <w:pPr>
              <w:rPr>
                <w:rFonts w:ascii="Arial"/>
                <w:sz w:val="21"/>
              </w:rPr>
            </w:pPr>
          </w:p>
        </w:tc>
        <w:tc>
          <w:tcPr>
            <w:tcW w:w="1318" w:type="dxa"/>
            <w:gridSpan w:val="2"/>
            <w:noWrap w:val="0"/>
            <w:vAlign w:val="top"/>
          </w:tcPr>
          <w:p w14:paraId="23F2F4C9">
            <w:pPr>
              <w:rPr>
                <w:rFonts w:ascii="Arial"/>
                <w:sz w:val="21"/>
              </w:rPr>
            </w:pPr>
          </w:p>
        </w:tc>
        <w:tc>
          <w:tcPr>
            <w:tcW w:w="884" w:type="dxa"/>
            <w:noWrap w:val="0"/>
            <w:vAlign w:val="top"/>
          </w:tcPr>
          <w:p w14:paraId="467B6472">
            <w:pPr>
              <w:rPr>
                <w:rFonts w:ascii="Arial"/>
                <w:sz w:val="21"/>
              </w:rPr>
            </w:pPr>
          </w:p>
        </w:tc>
      </w:tr>
      <w:tr w14:paraId="01632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3292020">
            <w:pPr>
              <w:rPr>
                <w:rFonts w:ascii="Arial"/>
                <w:sz w:val="21"/>
              </w:rPr>
            </w:pPr>
          </w:p>
        </w:tc>
        <w:tc>
          <w:tcPr>
            <w:tcW w:w="689" w:type="dxa"/>
            <w:vMerge w:val="restart"/>
            <w:tcBorders>
              <w:bottom w:val="nil"/>
            </w:tcBorders>
            <w:noWrap w:val="0"/>
            <w:vAlign w:val="top"/>
          </w:tcPr>
          <w:p w14:paraId="313BCD29">
            <w:pPr>
              <w:jc w:val="center"/>
              <w:rPr>
                <w:rFonts w:ascii="Calibri" w:hAnsi="Calibri" w:eastAsia="宋体" w:cs="Times New Roman"/>
                <w:b/>
                <w:bCs/>
              </w:rPr>
            </w:pPr>
            <w:r>
              <w:rPr>
                <w:rFonts w:ascii="Calibri" w:hAnsi="Calibri" w:eastAsia="宋体" w:cs="Times New Roman"/>
                <w:b/>
                <w:bCs/>
              </w:rPr>
              <w:t>满意</w:t>
            </w:r>
          </w:p>
          <w:p w14:paraId="3060C77C">
            <w:pPr>
              <w:jc w:val="center"/>
              <w:rPr>
                <w:rFonts w:ascii="Calibri" w:hAnsi="Calibri" w:eastAsia="宋体" w:cs="Times New Roman"/>
                <w:b/>
                <w:bCs/>
              </w:rPr>
            </w:pPr>
            <w:r>
              <w:rPr>
                <w:rFonts w:ascii="Calibri" w:hAnsi="Calibri" w:eastAsia="宋体" w:cs="Times New Roman"/>
                <w:b/>
                <w:bCs/>
              </w:rPr>
              <w:t>度指</w:t>
            </w:r>
          </w:p>
          <w:p w14:paraId="011BD6A9">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top"/>
          </w:tcPr>
          <w:p w14:paraId="3C688B56">
            <w:pPr>
              <w:tabs>
                <w:tab w:val="left" w:pos="202"/>
              </w:tabs>
              <w:spacing w:line="240" w:lineRule="auto"/>
              <w:ind w:lef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满意度指标</w:t>
            </w:r>
          </w:p>
        </w:tc>
        <w:tc>
          <w:tcPr>
            <w:tcW w:w="2647" w:type="dxa"/>
            <w:gridSpan w:val="3"/>
            <w:noWrap w:val="0"/>
            <w:vAlign w:val="top"/>
          </w:tcPr>
          <w:p w14:paraId="4D9E4A31">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服务对象满意度指标</w:t>
            </w:r>
          </w:p>
        </w:tc>
        <w:tc>
          <w:tcPr>
            <w:tcW w:w="1458" w:type="dxa"/>
            <w:noWrap w:val="0"/>
            <w:vAlign w:val="top"/>
          </w:tcPr>
          <w:p w14:paraId="19CA6E60">
            <w:pPr>
              <w:jc w:val="center"/>
              <w:rPr>
                <w:rFonts w:hint="default" w:ascii="Arial" w:hAnsi="Calibri" w:eastAsia="宋体" w:cs="Times New Roman"/>
                <w:sz w:val="21"/>
                <w:lang w:val="en-US" w:eastAsia="zh-CN"/>
              </w:rPr>
            </w:pPr>
            <w:r>
              <w:rPr>
                <w:rFonts w:hint="eastAsia" w:ascii="Arial" w:hAnsi="Calibri" w:eastAsia="宋体" w:cs="Times New Roman"/>
                <w:sz w:val="21"/>
                <w:lang w:val="en-US" w:eastAsia="zh-CN"/>
              </w:rPr>
              <w:t>100%</w:t>
            </w:r>
          </w:p>
        </w:tc>
        <w:tc>
          <w:tcPr>
            <w:tcW w:w="1318" w:type="dxa"/>
            <w:gridSpan w:val="2"/>
            <w:noWrap w:val="0"/>
            <w:vAlign w:val="top"/>
          </w:tcPr>
          <w:p w14:paraId="7B65EB38">
            <w:pPr>
              <w:jc w:val="center"/>
              <w:rPr>
                <w:rFonts w:hint="default" w:ascii="Arial" w:hAnsi="Calibri" w:eastAsia="宋体" w:cs="Times New Roman"/>
                <w:sz w:val="21"/>
                <w:lang w:val="en-US" w:eastAsia="zh-CN"/>
              </w:rPr>
            </w:pPr>
            <w:r>
              <w:rPr>
                <w:rFonts w:hint="eastAsia" w:ascii="Arial" w:hAnsi="Calibri" w:eastAsia="宋体" w:cs="Times New Roman"/>
                <w:sz w:val="21"/>
                <w:lang w:val="en-US" w:eastAsia="zh-CN"/>
              </w:rPr>
              <w:t>100%</w:t>
            </w:r>
          </w:p>
        </w:tc>
        <w:tc>
          <w:tcPr>
            <w:tcW w:w="884" w:type="dxa"/>
            <w:noWrap w:val="0"/>
            <w:vAlign w:val="top"/>
          </w:tcPr>
          <w:p w14:paraId="6FECCAF3">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r>
      <w:tr w14:paraId="513E7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05F853C1">
            <w:pPr>
              <w:rPr>
                <w:rFonts w:ascii="Arial"/>
                <w:sz w:val="21"/>
              </w:rPr>
            </w:pPr>
          </w:p>
        </w:tc>
        <w:tc>
          <w:tcPr>
            <w:tcW w:w="689" w:type="dxa"/>
            <w:vMerge w:val="continue"/>
            <w:tcBorders>
              <w:top w:val="nil"/>
            </w:tcBorders>
            <w:noWrap w:val="0"/>
            <w:vAlign w:val="top"/>
          </w:tcPr>
          <w:p w14:paraId="60FF0CF1">
            <w:pPr>
              <w:rPr>
                <w:rFonts w:ascii="Arial"/>
                <w:sz w:val="21"/>
              </w:rPr>
            </w:pPr>
          </w:p>
        </w:tc>
        <w:tc>
          <w:tcPr>
            <w:tcW w:w="1119" w:type="dxa"/>
            <w:noWrap w:val="0"/>
            <w:vAlign w:val="top"/>
          </w:tcPr>
          <w:p w14:paraId="632A05CB">
            <w:pPr>
              <w:rPr>
                <w:rFonts w:ascii="Arial"/>
                <w:sz w:val="21"/>
              </w:rPr>
            </w:pPr>
          </w:p>
        </w:tc>
        <w:tc>
          <w:tcPr>
            <w:tcW w:w="2647" w:type="dxa"/>
            <w:gridSpan w:val="3"/>
            <w:noWrap w:val="0"/>
            <w:vAlign w:val="top"/>
          </w:tcPr>
          <w:p w14:paraId="543244A3">
            <w:pPr>
              <w:rPr>
                <w:rFonts w:ascii="Arial"/>
                <w:sz w:val="21"/>
              </w:rPr>
            </w:pPr>
          </w:p>
        </w:tc>
        <w:tc>
          <w:tcPr>
            <w:tcW w:w="1458" w:type="dxa"/>
            <w:noWrap w:val="0"/>
            <w:vAlign w:val="top"/>
          </w:tcPr>
          <w:p w14:paraId="542AB5B9">
            <w:pPr>
              <w:rPr>
                <w:rFonts w:ascii="Arial"/>
                <w:sz w:val="21"/>
              </w:rPr>
            </w:pPr>
          </w:p>
        </w:tc>
        <w:tc>
          <w:tcPr>
            <w:tcW w:w="1318" w:type="dxa"/>
            <w:gridSpan w:val="2"/>
            <w:noWrap w:val="0"/>
            <w:vAlign w:val="top"/>
          </w:tcPr>
          <w:p w14:paraId="48089541">
            <w:pPr>
              <w:rPr>
                <w:rFonts w:ascii="Arial"/>
                <w:sz w:val="21"/>
              </w:rPr>
            </w:pPr>
          </w:p>
        </w:tc>
        <w:tc>
          <w:tcPr>
            <w:tcW w:w="884" w:type="dxa"/>
            <w:noWrap w:val="0"/>
            <w:vAlign w:val="top"/>
          </w:tcPr>
          <w:p w14:paraId="7DE520DD">
            <w:pPr>
              <w:rPr>
                <w:rFonts w:ascii="Arial"/>
                <w:sz w:val="21"/>
              </w:rPr>
            </w:pPr>
          </w:p>
        </w:tc>
      </w:tr>
      <w:tr w14:paraId="02C5C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5E8BEE2E">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172F21EF">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75B9D315">
            <w:pPr>
              <w:rPr>
                <w:rFonts w:ascii="Arial"/>
                <w:sz w:val="21"/>
              </w:rPr>
            </w:pPr>
          </w:p>
        </w:tc>
        <w:tc>
          <w:tcPr>
            <w:tcW w:w="1119" w:type="dxa"/>
            <w:noWrap w:val="0"/>
            <w:vAlign w:val="top"/>
          </w:tcPr>
          <w:p w14:paraId="73F39591">
            <w:pPr>
              <w:rPr>
                <w:rFonts w:ascii="Arial"/>
                <w:sz w:val="21"/>
              </w:rPr>
            </w:pPr>
          </w:p>
        </w:tc>
        <w:tc>
          <w:tcPr>
            <w:tcW w:w="2647" w:type="dxa"/>
            <w:gridSpan w:val="3"/>
            <w:noWrap w:val="0"/>
            <w:vAlign w:val="top"/>
          </w:tcPr>
          <w:p w14:paraId="4CC4E061">
            <w:pPr>
              <w:rPr>
                <w:rFonts w:ascii="Arial"/>
                <w:sz w:val="21"/>
              </w:rPr>
            </w:pPr>
          </w:p>
        </w:tc>
        <w:tc>
          <w:tcPr>
            <w:tcW w:w="1458" w:type="dxa"/>
            <w:noWrap w:val="0"/>
            <w:vAlign w:val="top"/>
          </w:tcPr>
          <w:p w14:paraId="0166E0CE">
            <w:pPr>
              <w:rPr>
                <w:rFonts w:ascii="Arial"/>
                <w:sz w:val="21"/>
              </w:rPr>
            </w:pPr>
          </w:p>
        </w:tc>
        <w:tc>
          <w:tcPr>
            <w:tcW w:w="1318" w:type="dxa"/>
            <w:gridSpan w:val="2"/>
            <w:noWrap w:val="0"/>
            <w:vAlign w:val="top"/>
          </w:tcPr>
          <w:p w14:paraId="4F4292BC">
            <w:pPr>
              <w:rPr>
                <w:rFonts w:ascii="Arial"/>
                <w:sz w:val="21"/>
              </w:rPr>
            </w:pPr>
          </w:p>
        </w:tc>
        <w:tc>
          <w:tcPr>
            <w:tcW w:w="884" w:type="dxa"/>
            <w:noWrap w:val="0"/>
            <w:vAlign w:val="top"/>
          </w:tcPr>
          <w:p w14:paraId="1660CFEB">
            <w:pPr>
              <w:rPr>
                <w:rFonts w:ascii="Arial"/>
                <w:sz w:val="21"/>
              </w:rPr>
            </w:pPr>
          </w:p>
        </w:tc>
      </w:tr>
      <w:tr w14:paraId="045F0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2C4F0E56">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2A8B6CBB">
            <w:pPr>
              <w:rPr>
                <w:rFonts w:ascii="Arial"/>
                <w:sz w:val="21"/>
              </w:rPr>
            </w:pPr>
          </w:p>
        </w:tc>
        <w:tc>
          <w:tcPr>
            <w:tcW w:w="1119" w:type="dxa"/>
            <w:noWrap w:val="0"/>
            <w:vAlign w:val="top"/>
          </w:tcPr>
          <w:p w14:paraId="0DB01559">
            <w:pPr>
              <w:rPr>
                <w:rFonts w:ascii="Arial"/>
                <w:sz w:val="21"/>
              </w:rPr>
            </w:pPr>
          </w:p>
        </w:tc>
        <w:tc>
          <w:tcPr>
            <w:tcW w:w="2647" w:type="dxa"/>
            <w:gridSpan w:val="3"/>
            <w:noWrap w:val="0"/>
            <w:vAlign w:val="top"/>
          </w:tcPr>
          <w:p w14:paraId="1C5187C0">
            <w:pPr>
              <w:rPr>
                <w:rFonts w:ascii="Arial"/>
                <w:sz w:val="21"/>
              </w:rPr>
            </w:pPr>
          </w:p>
        </w:tc>
        <w:tc>
          <w:tcPr>
            <w:tcW w:w="1458" w:type="dxa"/>
            <w:noWrap w:val="0"/>
            <w:vAlign w:val="top"/>
          </w:tcPr>
          <w:p w14:paraId="616B70B7">
            <w:pPr>
              <w:rPr>
                <w:rFonts w:ascii="Arial"/>
                <w:sz w:val="21"/>
              </w:rPr>
            </w:pPr>
          </w:p>
        </w:tc>
        <w:tc>
          <w:tcPr>
            <w:tcW w:w="1318" w:type="dxa"/>
            <w:gridSpan w:val="2"/>
            <w:noWrap w:val="0"/>
            <w:vAlign w:val="top"/>
          </w:tcPr>
          <w:p w14:paraId="42CC10E1">
            <w:pPr>
              <w:rPr>
                <w:rFonts w:ascii="Arial"/>
                <w:sz w:val="21"/>
              </w:rPr>
            </w:pPr>
          </w:p>
        </w:tc>
        <w:tc>
          <w:tcPr>
            <w:tcW w:w="884" w:type="dxa"/>
            <w:noWrap w:val="0"/>
            <w:vAlign w:val="top"/>
          </w:tcPr>
          <w:p w14:paraId="096FFA90">
            <w:pPr>
              <w:rPr>
                <w:rFonts w:ascii="Arial"/>
                <w:sz w:val="21"/>
              </w:rPr>
            </w:pPr>
          </w:p>
        </w:tc>
      </w:tr>
      <w:tr w14:paraId="27B38267">
        <w:tblPrEx>
          <w:tblCellMar>
            <w:top w:w="0" w:type="dxa"/>
            <w:left w:w="0" w:type="dxa"/>
            <w:bottom w:w="0" w:type="dxa"/>
            <w:right w:w="0" w:type="dxa"/>
          </w:tblCellMar>
        </w:tblPrEx>
        <w:trPr>
          <w:trHeight w:val="524" w:hRule="atLeast"/>
        </w:trPr>
        <w:tc>
          <w:tcPr>
            <w:tcW w:w="814" w:type="dxa"/>
            <w:noWrap w:val="0"/>
            <w:vAlign w:val="top"/>
          </w:tcPr>
          <w:p w14:paraId="19813CE0">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top"/>
          </w:tcPr>
          <w:p w14:paraId="77BD1A71">
            <w:pPr>
              <w:rPr>
                <w:rFonts w:hint="default" w:ascii="Arial" w:eastAsia="宋体"/>
                <w:sz w:val="21"/>
                <w:lang w:val="en-US" w:eastAsia="zh-CN"/>
              </w:rPr>
            </w:pPr>
            <w:r>
              <w:rPr>
                <w:rFonts w:hint="eastAsia" w:ascii="Arial" w:eastAsia="宋体"/>
                <w:sz w:val="21"/>
                <w:lang w:val="en-US" w:eastAsia="zh-CN"/>
              </w:rPr>
              <w:t>100</w:t>
            </w:r>
          </w:p>
        </w:tc>
      </w:tr>
      <w:tr w14:paraId="35390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14" w:type="dxa"/>
            <w:noWrap w:val="0"/>
            <w:vAlign w:val="top"/>
          </w:tcPr>
          <w:p w14:paraId="4FE25EA4">
            <w:pPr>
              <w:spacing w:line="242" w:lineRule="auto"/>
              <w:rPr>
                <w:rFonts w:ascii="Arial"/>
                <w:b/>
                <w:bCs/>
                <w:sz w:val="21"/>
              </w:rPr>
            </w:pPr>
          </w:p>
          <w:p w14:paraId="0CFC9AA4">
            <w:pPr>
              <w:jc w:val="center"/>
              <w:rPr>
                <w:b/>
                <w:bCs/>
              </w:rPr>
            </w:pPr>
            <w:r>
              <w:rPr>
                <w:b/>
                <w:bCs/>
              </w:rPr>
              <w:t>偏差大或</w:t>
            </w:r>
          </w:p>
          <w:p w14:paraId="5CA9913D">
            <w:pPr>
              <w:jc w:val="center"/>
              <w:rPr>
                <w:b/>
                <w:bCs/>
              </w:rPr>
            </w:pPr>
            <w:r>
              <w:rPr>
                <w:b/>
                <w:bCs/>
              </w:rPr>
              <w:t>目标未完成</w:t>
            </w:r>
          </w:p>
          <w:p w14:paraId="16A4431B">
            <w:pPr>
              <w:jc w:val="center"/>
              <w:rPr>
                <w:rFonts w:ascii="宋体" w:hAnsi="宋体" w:eastAsia="宋体" w:cs="宋体"/>
                <w:sz w:val="20"/>
                <w:szCs w:val="20"/>
              </w:rPr>
            </w:pPr>
            <w:r>
              <w:rPr>
                <w:b/>
                <w:bCs/>
              </w:rPr>
              <w:t>原因分析</w:t>
            </w:r>
          </w:p>
        </w:tc>
        <w:tc>
          <w:tcPr>
            <w:tcW w:w="8115" w:type="dxa"/>
            <w:gridSpan w:val="9"/>
            <w:noWrap w:val="0"/>
            <w:vAlign w:val="top"/>
          </w:tcPr>
          <w:p w14:paraId="4BD0E1DF">
            <w:pPr>
              <w:rPr>
                <w:rFonts w:ascii="Arial"/>
                <w:sz w:val="21"/>
              </w:rPr>
            </w:pPr>
          </w:p>
        </w:tc>
      </w:tr>
      <w:tr w14:paraId="108E4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814" w:type="dxa"/>
            <w:noWrap w:val="0"/>
            <w:vAlign w:val="top"/>
          </w:tcPr>
          <w:p w14:paraId="489D6C63">
            <w:pPr>
              <w:spacing w:line="270" w:lineRule="auto"/>
              <w:jc w:val="center"/>
              <w:rPr>
                <w:rFonts w:ascii="Arial"/>
                <w:sz w:val="21"/>
              </w:rPr>
            </w:pPr>
          </w:p>
          <w:p w14:paraId="1D0C0C0A">
            <w:pPr>
              <w:spacing w:before="65" w:line="267" w:lineRule="auto"/>
              <w:ind w:right="147"/>
              <w:jc w:val="center"/>
              <w:rPr>
                <w:rFonts w:ascii="宋体" w:hAnsi="宋体" w:eastAsia="宋体" w:cs="宋体"/>
                <w:sz w:val="20"/>
                <w:szCs w:val="20"/>
              </w:rPr>
            </w:pPr>
            <w:r>
              <w:rPr>
                <w:b/>
                <w:bCs/>
              </w:rPr>
              <w:t>改进措施及  结果应用方案</w:t>
            </w:r>
          </w:p>
        </w:tc>
        <w:tc>
          <w:tcPr>
            <w:tcW w:w="8115" w:type="dxa"/>
            <w:gridSpan w:val="9"/>
            <w:noWrap w:val="0"/>
            <w:vAlign w:val="top"/>
          </w:tcPr>
          <w:p w14:paraId="7310C908">
            <w:pPr>
              <w:rPr>
                <w:rFonts w:ascii="Arial"/>
                <w:sz w:val="21"/>
              </w:rPr>
            </w:pPr>
          </w:p>
          <w:p w14:paraId="773CE81C">
            <w:pPr>
              <w:bidi w:val="0"/>
              <w:rPr>
                <w:rFonts w:asciiTheme="minorHAnsi" w:hAnsiTheme="minorHAnsi" w:eastAsiaTheme="minorEastAsia" w:cstheme="minorBidi"/>
                <w:kern w:val="2"/>
                <w:sz w:val="21"/>
                <w:szCs w:val="24"/>
                <w:lang w:val="en-US" w:eastAsia="zh-CN" w:bidi="ar-SA"/>
              </w:rPr>
            </w:pPr>
          </w:p>
          <w:p w14:paraId="1CF4027B">
            <w:pPr>
              <w:tabs>
                <w:tab w:val="left" w:pos="1826"/>
              </w:tabs>
              <w:bidi w:val="0"/>
              <w:jc w:val="left"/>
              <w:rPr>
                <w:lang w:val="en-US" w:eastAsia="zh-CN"/>
              </w:rPr>
            </w:pPr>
          </w:p>
        </w:tc>
      </w:tr>
    </w:tbl>
    <w:p w14:paraId="2C18AA6D">
      <w:pPr>
        <w:spacing w:line="240" w:lineRule="auto"/>
        <w:rPr>
          <w:rFonts w:ascii="仿宋" w:hAnsi="仿宋" w:eastAsia="仿宋" w:cs="仿宋"/>
          <w:spacing w:val="-1"/>
          <w:sz w:val="21"/>
          <w:szCs w:val="21"/>
        </w:rPr>
      </w:pPr>
    </w:p>
    <w:p w14:paraId="4D917B5C">
      <w:pPr>
        <w:spacing w:before="46" w:line="224" w:lineRule="auto"/>
        <w:ind w:left="164"/>
        <w:rPr>
          <w:rFonts w:ascii="仿宋" w:hAnsi="仿宋" w:eastAsia="仿宋" w:cs="仿宋"/>
          <w:sz w:val="24"/>
          <w:szCs w:val="24"/>
        </w:rPr>
      </w:pPr>
      <w:r>
        <w:rPr>
          <w:rFonts w:ascii="仿宋" w:hAnsi="仿宋" w:eastAsia="仿宋" w:cs="仿宋"/>
          <w:spacing w:val="-27"/>
          <w:sz w:val="24"/>
          <w:szCs w:val="24"/>
        </w:rPr>
        <w:t>备注：</w:t>
      </w:r>
    </w:p>
    <w:p w14:paraId="7A3C9C90">
      <w:pPr>
        <w:spacing w:before="40" w:line="257" w:lineRule="auto"/>
        <w:ind w:left="164" w:right="163" w:firstLine="410"/>
        <w:rPr>
          <w:rFonts w:ascii="仿宋" w:hAnsi="仿宋" w:eastAsia="仿宋" w:cs="仿宋"/>
          <w:sz w:val="21"/>
          <w:szCs w:val="21"/>
        </w:rPr>
      </w:pPr>
      <w:r>
        <w:rPr>
          <w:rFonts w:ascii="仿宋" w:hAnsi="仿宋" w:eastAsia="仿宋" w:cs="仿宋"/>
          <w:spacing w:val="8"/>
          <w:sz w:val="21"/>
          <w:szCs w:val="21"/>
        </w:rPr>
        <w:t>1.预算执行情况口径：预算数为调整后财政资金总额(包括上年结余结转),执行数为资</w:t>
      </w:r>
      <w:r>
        <w:rPr>
          <w:rFonts w:ascii="仿宋" w:hAnsi="仿宋" w:eastAsia="仿宋" w:cs="仿宋"/>
          <w:spacing w:val="5"/>
          <w:sz w:val="21"/>
          <w:szCs w:val="21"/>
        </w:rPr>
        <w:t xml:space="preserve"> </w:t>
      </w:r>
      <w:r>
        <w:rPr>
          <w:rFonts w:ascii="仿宋" w:hAnsi="仿宋" w:eastAsia="仿宋" w:cs="仿宋"/>
          <w:sz w:val="21"/>
          <w:szCs w:val="21"/>
        </w:rPr>
        <w:t>金使用单位财政资金实际支出数。涉及政府采购的项目支出要</w:t>
      </w:r>
      <w:r>
        <w:rPr>
          <w:rFonts w:ascii="仿宋" w:hAnsi="仿宋" w:eastAsia="仿宋" w:cs="仿宋"/>
          <w:spacing w:val="-1"/>
          <w:sz w:val="21"/>
          <w:szCs w:val="21"/>
        </w:rPr>
        <w:t>设置相关绩效指标反映政府采购</w:t>
      </w:r>
      <w:r>
        <w:rPr>
          <w:rFonts w:ascii="仿宋" w:hAnsi="仿宋" w:eastAsia="仿宋" w:cs="仿宋"/>
          <w:sz w:val="21"/>
          <w:szCs w:val="21"/>
        </w:rPr>
        <w:t xml:space="preserve"> </w:t>
      </w:r>
      <w:r>
        <w:rPr>
          <w:rFonts w:ascii="仿宋" w:hAnsi="仿宋" w:eastAsia="仿宋" w:cs="仿宋"/>
          <w:spacing w:val="-9"/>
          <w:sz w:val="21"/>
          <w:szCs w:val="21"/>
        </w:rPr>
        <w:t>管理情况。</w:t>
      </w:r>
    </w:p>
    <w:p w14:paraId="2C972EB1">
      <w:pPr>
        <w:spacing w:before="54" w:line="256" w:lineRule="auto"/>
        <w:ind w:left="164" w:right="199" w:firstLine="410"/>
        <w:rPr>
          <w:rFonts w:ascii="仿宋" w:hAnsi="仿宋" w:eastAsia="仿宋" w:cs="仿宋"/>
          <w:sz w:val="21"/>
          <w:szCs w:val="21"/>
        </w:rPr>
      </w:pPr>
      <w:r>
        <w:rPr>
          <w:rFonts w:ascii="仿宋" w:hAnsi="仿宋" w:eastAsia="仿宋" w:cs="仿宋"/>
          <w:spacing w:val="-1"/>
          <w:sz w:val="21"/>
          <w:szCs w:val="21"/>
        </w:rPr>
        <w:t>2.定量指标完成数汇总原则：绝对值直接累加计算，相对值按照资金额度加权平均计算。</w:t>
      </w:r>
      <w:r>
        <w:rPr>
          <w:rFonts w:ascii="仿宋" w:hAnsi="仿宋" w:eastAsia="仿宋" w:cs="仿宋"/>
          <w:spacing w:val="3"/>
          <w:sz w:val="21"/>
          <w:szCs w:val="21"/>
        </w:rPr>
        <w:t xml:space="preserve"> 定量指标计分原则：正向指标(即目标值为≥X,得分=权重*B/</w:t>
      </w:r>
      <w:r>
        <w:rPr>
          <w:rFonts w:ascii="仿宋" w:hAnsi="仿宋" w:eastAsia="仿宋" w:cs="仿宋"/>
          <w:spacing w:val="2"/>
          <w:sz w:val="21"/>
          <w:szCs w:val="21"/>
        </w:rPr>
        <w:t>A),</w:t>
      </w:r>
      <w:r>
        <w:rPr>
          <w:rFonts w:ascii="仿宋" w:hAnsi="仿宋" w:eastAsia="仿宋" w:cs="仿宋"/>
          <w:spacing w:val="52"/>
          <w:sz w:val="21"/>
          <w:szCs w:val="21"/>
        </w:rPr>
        <w:t xml:space="preserve"> </w:t>
      </w:r>
      <w:r>
        <w:rPr>
          <w:rFonts w:ascii="仿宋" w:hAnsi="仿宋" w:eastAsia="仿宋" w:cs="仿宋"/>
          <w:spacing w:val="2"/>
          <w:sz w:val="21"/>
          <w:szCs w:val="21"/>
        </w:rPr>
        <w:t>反向指标(即目标值为≤X,</w:t>
      </w:r>
      <w:r>
        <w:rPr>
          <w:rFonts w:ascii="仿宋" w:hAnsi="仿宋" w:eastAsia="仿宋" w:cs="仿宋"/>
          <w:sz w:val="21"/>
          <w:szCs w:val="21"/>
        </w:rPr>
        <w:t xml:space="preserve"> </w:t>
      </w:r>
      <w:r>
        <w:rPr>
          <w:rFonts w:ascii="仿宋" w:hAnsi="仿宋" w:eastAsia="仿宋" w:cs="仿宋"/>
          <w:spacing w:val="-1"/>
          <w:sz w:val="21"/>
          <w:szCs w:val="21"/>
        </w:rPr>
        <w:t>得分=权重*A/B),</w:t>
      </w:r>
      <w:r>
        <w:rPr>
          <w:rFonts w:ascii="仿宋" w:hAnsi="仿宋" w:eastAsia="仿宋" w:cs="仿宋"/>
          <w:spacing w:val="100"/>
          <w:sz w:val="21"/>
          <w:szCs w:val="21"/>
        </w:rPr>
        <w:t xml:space="preserve"> </w:t>
      </w:r>
      <w:r>
        <w:rPr>
          <w:rFonts w:ascii="仿宋" w:hAnsi="仿宋" w:eastAsia="仿宋" w:cs="仿宋"/>
          <w:spacing w:val="-1"/>
          <w:sz w:val="21"/>
          <w:szCs w:val="21"/>
        </w:rPr>
        <w:t>得分不得突破权重总额。定量指标</w:t>
      </w:r>
      <w:r>
        <w:rPr>
          <w:rFonts w:ascii="仿宋" w:hAnsi="仿宋" w:eastAsia="仿宋" w:cs="仿宋"/>
          <w:spacing w:val="-2"/>
          <w:sz w:val="21"/>
          <w:szCs w:val="21"/>
        </w:rPr>
        <w:t>先汇总完成数，再计算得分。</w:t>
      </w:r>
    </w:p>
    <w:p w14:paraId="5CF81804">
      <w:pPr>
        <w:spacing w:before="54" w:line="256" w:lineRule="auto"/>
        <w:ind w:left="164" w:right="179" w:firstLine="410"/>
        <w:rPr>
          <w:rFonts w:ascii="仿宋" w:hAnsi="仿宋" w:eastAsia="仿宋" w:cs="仿宋"/>
          <w:sz w:val="21"/>
          <w:szCs w:val="21"/>
        </w:rPr>
      </w:pPr>
      <w:r>
        <w:rPr>
          <w:rFonts w:ascii="仿宋" w:hAnsi="仿宋" w:eastAsia="仿宋" w:cs="仿宋"/>
          <w:sz w:val="21"/>
          <w:szCs w:val="21"/>
        </w:rPr>
        <w:t>3.定性指标计分原则：达成预期指标、部分达成预期指标并具有一定</w:t>
      </w:r>
      <w:r>
        <w:rPr>
          <w:rFonts w:ascii="仿宋" w:hAnsi="仿宋" w:eastAsia="仿宋" w:cs="仿宋"/>
          <w:spacing w:val="-1"/>
          <w:sz w:val="21"/>
          <w:szCs w:val="21"/>
        </w:rPr>
        <w:t>效果、未达成预期指</w:t>
      </w:r>
      <w:r>
        <w:rPr>
          <w:rFonts w:ascii="仿宋" w:hAnsi="仿宋" w:eastAsia="仿宋" w:cs="仿宋"/>
          <w:sz w:val="21"/>
          <w:szCs w:val="21"/>
        </w:rPr>
        <w:t xml:space="preserve"> </w:t>
      </w:r>
      <w:r>
        <w:rPr>
          <w:rFonts w:ascii="仿宋" w:hAnsi="仿宋" w:eastAsia="仿宋" w:cs="仿宋"/>
          <w:spacing w:val="4"/>
          <w:sz w:val="21"/>
          <w:szCs w:val="21"/>
        </w:rPr>
        <w:t>标且效果较差三档，分别按照该指标对应分值区间100-80%(含80</w:t>
      </w:r>
      <w:r>
        <w:rPr>
          <w:rFonts w:ascii="仿宋" w:hAnsi="仿宋" w:eastAsia="仿宋" w:cs="仿宋"/>
          <w:spacing w:val="3"/>
          <w:sz w:val="21"/>
          <w:szCs w:val="21"/>
        </w:rPr>
        <w:t>%)、80-50%(含50%)、50-0%</w:t>
      </w:r>
      <w:r>
        <w:rPr>
          <w:rFonts w:ascii="仿宋" w:hAnsi="仿宋" w:eastAsia="仿宋" w:cs="仿宋"/>
          <w:sz w:val="21"/>
          <w:szCs w:val="21"/>
        </w:rPr>
        <w:t xml:space="preserve"> </w:t>
      </w:r>
      <w:r>
        <w:rPr>
          <w:rFonts w:ascii="仿宋" w:hAnsi="仿宋" w:eastAsia="仿宋" w:cs="仿宋"/>
          <w:spacing w:val="-2"/>
          <w:sz w:val="21"/>
          <w:szCs w:val="21"/>
        </w:rPr>
        <w:t>合理确定分值。汇总时，以资金额度为权重，对分值进行加权平均计算。</w:t>
      </w:r>
    </w:p>
    <w:p w14:paraId="709AE2DC">
      <w:pPr>
        <w:spacing w:before="58" w:line="220" w:lineRule="auto"/>
        <w:ind w:left="575"/>
        <w:rPr>
          <w:rFonts w:ascii="仿宋" w:hAnsi="仿宋" w:eastAsia="仿宋" w:cs="仿宋"/>
          <w:sz w:val="21"/>
          <w:szCs w:val="21"/>
        </w:rPr>
      </w:pPr>
      <w:r>
        <w:rPr>
          <w:rFonts w:ascii="仿宋" w:hAnsi="仿宋" w:eastAsia="仿宋" w:cs="仿宋"/>
          <w:spacing w:val="-1"/>
          <w:sz w:val="21"/>
          <w:szCs w:val="21"/>
        </w:rPr>
        <w:t>4.基于经济性和必要性等因素考虑，满意度指标暂</w:t>
      </w:r>
      <w:r>
        <w:rPr>
          <w:rFonts w:ascii="仿宋" w:hAnsi="仿宋" w:eastAsia="仿宋" w:cs="仿宋"/>
          <w:spacing w:val="-2"/>
          <w:sz w:val="21"/>
          <w:szCs w:val="21"/>
        </w:rPr>
        <w:t>可不作为必评指标。</w:t>
      </w:r>
    </w:p>
    <w:p w14:paraId="3E949430">
      <w:pPr>
        <w:spacing w:before="61" w:line="222" w:lineRule="auto"/>
        <w:ind w:left="575"/>
        <w:rPr>
          <w:rFonts w:ascii="仿宋" w:hAnsi="仿宋" w:eastAsia="仿宋" w:cs="仿宋"/>
          <w:sz w:val="21"/>
          <w:szCs w:val="21"/>
        </w:rPr>
      </w:pPr>
      <w:r>
        <w:rPr>
          <w:rFonts w:ascii="仿宋" w:hAnsi="仿宋" w:eastAsia="仿宋" w:cs="仿宋"/>
          <w:spacing w:val="-1"/>
          <w:sz w:val="21"/>
          <w:szCs w:val="21"/>
        </w:rPr>
        <w:t>5.涉及政府采购的项目支出应设置相关政府采购指标。</w:t>
      </w:r>
    </w:p>
    <w:p w14:paraId="1EEFA20E">
      <w:pPr>
        <w:spacing w:before="56" w:line="219" w:lineRule="auto"/>
        <w:ind w:left="575"/>
        <w:rPr>
          <w:rFonts w:ascii="仿宋" w:hAnsi="仿宋" w:eastAsia="仿宋" w:cs="仿宋"/>
          <w:spacing w:val="-1"/>
          <w:sz w:val="21"/>
          <w:szCs w:val="21"/>
        </w:rPr>
      </w:pPr>
      <w:r>
        <w:rPr>
          <w:rFonts w:ascii="仿宋" w:hAnsi="仿宋" w:eastAsia="仿宋" w:cs="仿宋"/>
          <w:spacing w:val="-1"/>
          <w:sz w:val="21"/>
          <w:szCs w:val="21"/>
        </w:rPr>
        <w:t>6.本部门单位自评项目较多的亦可自行设计封面，请主要领导在封面上签字并加盖公章。</w:t>
      </w:r>
    </w:p>
    <w:p w14:paraId="53683AC4">
      <w:pPr>
        <w:bidi w:val="0"/>
        <w:rPr>
          <w:rFonts w:asciiTheme="minorHAnsi" w:hAnsiTheme="minorHAnsi" w:eastAsiaTheme="minorEastAsia" w:cstheme="minorBidi"/>
          <w:kern w:val="2"/>
          <w:sz w:val="21"/>
          <w:szCs w:val="24"/>
          <w:lang w:val="en-US" w:eastAsia="zh-CN" w:bidi="ar-SA"/>
        </w:rPr>
      </w:pPr>
    </w:p>
    <w:p w14:paraId="52444042">
      <w:pPr>
        <w:tabs>
          <w:tab w:val="left" w:pos="907"/>
        </w:tabs>
        <w:bidi w:val="0"/>
        <w:jc w:val="left"/>
        <w:rPr>
          <w:rFonts w:hint="eastAsia"/>
          <w:lang w:val="en-US" w:eastAsia="zh-CN"/>
        </w:rPr>
      </w:pPr>
      <w:r>
        <w:rPr>
          <w:rFonts w:hint="eastAsia"/>
          <w:lang w:val="en-US" w:eastAsia="zh-CN"/>
        </w:rPr>
        <w:tab/>
      </w:r>
    </w:p>
    <w:p w14:paraId="3F5F66DA">
      <w:pPr>
        <w:tabs>
          <w:tab w:val="left" w:pos="907"/>
        </w:tabs>
        <w:bidi w:val="0"/>
        <w:jc w:val="center"/>
        <w:rPr>
          <w:rFonts w:ascii="宋体" w:hAnsi="宋体" w:eastAsia="宋体" w:cs="宋体"/>
          <w:sz w:val="28"/>
          <w:szCs w:val="28"/>
        </w:rPr>
      </w:pPr>
      <w:r>
        <w:rPr>
          <w:rFonts w:hint="eastAsia" w:ascii="宋体" w:hAnsi="宋体" w:eastAsia="宋体" w:cs="宋体"/>
          <w:b/>
          <w:bCs/>
          <w:sz w:val="28"/>
          <w:szCs w:val="28"/>
          <w:lang w:val="en-US" w:eastAsia="zh-CN"/>
        </w:rPr>
        <w:t>2021</w:t>
      </w:r>
      <w:r>
        <w:rPr>
          <w:rFonts w:ascii="宋体" w:hAnsi="宋体" w:eastAsia="宋体" w:cs="宋体"/>
          <w:b/>
          <w:bCs/>
          <w:spacing w:val="17"/>
          <w:sz w:val="28"/>
          <w:szCs w:val="28"/>
        </w:rPr>
        <w:t>年度</w:t>
      </w:r>
      <w:r>
        <w:rPr>
          <w:rFonts w:hint="eastAsia" w:ascii="宋体" w:hAnsi="宋体" w:eastAsia="宋体" w:cs="宋体"/>
          <w:b/>
          <w:bCs/>
          <w:sz w:val="28"/>
          <w:szCs w:val="28"/>
          <w:lang w:val="en-US" w:eastAsia="zh-CN"/>
        </w:rPr>
        <w:t>票据、软件及网络经费</w:t>
      </w:r>
      <w:r>
        <w:rPr>
          <w:rFonts w:ascii="宋体" w:hAnsi="宋体" w:eastAsia="宋体" w:cs="宋体"/>
          <w:b/>
          <w:bCs/>
          <w:spacing w:val="17"/>
          <w:sz w:val="28"/>
          <w:szCs w:val="28"/>
        </w:rPr>
        <w:t>项目自评表</w:t>
      </w:r>
    </w:p>
    <w:p w14:paraId="59E5DD8A">
      <w:pPr>
        <w:spacing w:before="63" w:line="226" w:lineRule="auto"/>
        <w:ind w:left="239"/>
        <w:rPr>
          <w:rFonts w:hint="default" w:ascii="楷体" w:hAnsi="楷体" w:eastAsia="楷体" w:cs="楷体"/>
          <w:b/>
          <w:bCs/>
          <w:spacing w:val="13"/>
          <w:position w:val="1"/>
          <w:sz w:val="30"/>
          <w:szCs w:val="30"/>
          <w:lang w:val="en-US" w:eastAsia="zh-CN"/>
        </w:rPr>
      </w:pPr>
      <w:r>
        <w:rPr>
          <w:rFonts w:ascii="楷体" w:hAnsi="楷体" w:eastAsia="楷体" w:cs="楷体"/>
          <w:b/>
          <w:bCs/>
          <w:spacing w:val="13"/>
          <w:position w:val="1"/>
          <w:sz w:val="30"/>
          <w:szCs w:val="30"/>
        </w:rPr>
        <w:t>项目单位(盖章):</w:t>
      </w:r>
      <w:r>
        <w:rPr>
          <w:rFonts w:ascii="楷体" w:hAnsi="楷体" w:eastAsia="楷体" w:cs="楷体"/>
          <w:spacing w:val="3"/>
          <w:position w:val="1"/>
          <w:sz w:val="30"/>
          <w:szCs w:val="30"/>
        </w:rPr>
        <w:t xml:space="preserve"> </w:t>
      </w:r>
      <w:r>
        <w:rPr>
          <w:rFonts w:hint="eastAsia" w:ascii="楷体" w:hAnsi="楷体" w:eastAsia="楷体" w:cs="楷体"/>
          <w:spacing w:val="3"/>
          <w:position w:val="1"/>
          <w:sz w:val="30"/>
          <w:szCs w:val="30"/>
          <w:lang w:val="en-US" w:eastAsia="zh-CN"/>
        </w:rPr>
        <w:t>下陆区财政局</w:t>
      </w:r>
      <w:r>
        <w:rPr>
          <w:rFonts w:ascii="楷体" w:hAnsi="楷体" w:eastAsia="楷体" w:cs="楷体"/>
          <w:spacing w:val="3"/>
          <w:position w:val="1"/>
          <w:sz w:val="30"/>
          <w:szCs w:val="30"/>
        </w:rPr>
        <w:t xml:space="preserve">   </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1E5FF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DD422F1">
            <w:pPr>
              <w:spacing w:before="154" w:line="220" w:lineRule="auto"/>
              <w:ind w:left="304"/>
              <w:jc w:val="center"/>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29F76C25">
            <w:pPr>
              <w:jc w:val="left"/>
              <w:rPr>
                <w:rFonts w:ascii="Arial"/>
                <w:sz w:val="21"/>
              </w:rPr>
            </w:pPr>
            <w:r>
              <w:rPr>
                <w:rFonts w:hint="eastAsia" w:ascii="Arial"/>
                <w:sz w:val="21"/>
                <w:lang w:val="en-US" w:eastAsia="zh-CN"/>
              </w:rPr>
              <w:t>票据、软件及网络经费</w:t>
            </w:r>
          </w:p>
        </w:tc>
      </w:tr>
      <w:tr w14:paraId="07E6A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47687FB7">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6DB754CC">
            <w:pPr>
              <w:rPr>
                <w:rFonts w:ascii="Arial"/>
                <w:sz w:val="21"/>
              </w:rPr>
            </w:pPr>
          </w:p>
        </w:tc>
        <w:tc>
          <w:tcPr>
            <w:tcW w:w="2516" w:type="dxa"/>
            <w:gridSpan w:val="3"/>
            <w:noWrap w:val="0"/>
            <w:vAlign w:val="top"/>
          </w:tcPr>
          <w:p w14:paraId="0BF6A353">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7ED8CFF2">
            <w:pPr>
              <w:rPr>
                <w:rFonts w:hint="default" w:ascii="Arial" w:eastAsia="宋体"/>
                <w:sz w:val="21"/>
                <w:lang w:val="en-US" w:eastAsia="zh-CN"/>
              </w:rPr>
            </w:pPr>
            <w:r>
              <w:rPr>
                <w:rFonts w:hint="eastAsia" w:ascii="Arial"/>
                <w:sz w:val="21"/>
                <w:lang w:val="en-US" w:eastAsia="zh-CN"/>
              </w:rPr>
              <w:t>下陆区财政局</w:t>
            </w:r>
          </w:p>
        </w:tc>
      </w:tr>
      <w:tr w14:paraId="1A4E3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DF58AA4">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76844F7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57222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65783B7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3AB544EF">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73053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CF02617">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22A9ED3B">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44CE0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E0AB202">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3C9D66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78343DB">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3B34A2A0">
            <w:pPr>
              <w:rPr>
                <w:rFonts w:ascii="Arial"/>
                <w:sz w:val="21"/>
              </w:rPr>
            </w:pPr>
          </w:p>
        </w:tc>
        <w:tc>
          <w:tcPr>
            <w:tcW w:w="1329" w:type="dxa"/>
            <w:noWrap w:val="0"/>
            <w:vAlign w:val="top"/>
          </w:tcPr>
          <w:p w14:paraId="32059AE4">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FA247D7">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6896E16B">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14F63E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7C0411C">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2007F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center"/>
          </w:tcPr>
          <w:p w14:paraId="749E47BB">
            <w:pPr>
              <w:jc w:val="center"/>
              <w:rPr>
                <w:rFonts w:ascii="Arial"/>
                <w:sz w:val="21"/>
              </w:rPr>
            </w:pPr>
          </w:p>
        </w:tc>
        <w:tc>
          <w:tcPr>
            <w:tcW w:w="1119" w:type="dxa"/>
            <w:noWrap w:val="0"/>
            <w:vAlign w:val="center"/>
          </w:tcPr>
          <w:p w14:paraId="31A986E4">
            <w:pPr>
              <w:spacing w:before="59" w:line="215" w:lineRule="auto"/>
              <w:ind w:left="112" w:right="108"/>
              <w:jc w:val="center"/>
              <w:rPr>
                <w:rFonts w:ascii="宋体" w:hAnsi="宋体" w:eastAsia="宋体" w:cs="宋体"/>
                <w:sz w:val="21"/>
                <w:szCs w:val="21"/>
              </w:rPr>
            </w:pPr>
            <w:r>
              <w:t>年度财政 资金总额</w:t>
            </w:r>
          </w:p>
        </w:tc>
        <w:tc>
          <w:tcPr>
            <w:tcW w:w="1329" w:type="dxa"/>
            <w:noWrap w:val="0"/>
            <w:vAlign w:val="center"/>
          </w:tcPr>
          <w:p w14:paraId="7D9FEDDA">
            <w:pPr>
              <w:jc w:val="center"/>
              <w:rPr>
                <w:rFonts w:hint="default" w:ascii="Arial" w:eastAsia="宋体"/>
                <w:sz w:val="21"/>
                <w:lang w:val="en-US" w:eastAsia="zh-CN"/>
              </w:rPr>
            </w:pPr>
            <w:r>
              <w:rPr>
                <w:rFonts w:hint="eastAsia" w:ascii="Arial"/>
                <w:sz w:val="21"/>
                <w:lang w:val="en-US" w:eastAsia="zh-CN"/>
              </w:rPr>
              <w:t>24.46</w:t>
            </w:r>
          </w:p>
        </w:tc>
        <w:tc>
          <w:tcPr>
            <w:tcW w:w="1318" w:type="dxa"/>
            <w:gridSpan w:val="2"/>
            <w:noWrap w:val="0"/>
            <w:vAlign w:val="center"/>
          </w:tcPr>
          <w:p w14:paraId="3F65142E">
            <w:pPr>
              <w:jc w:val="center"/>
              <w:rPr>
                <w:rFonts w:hint="default" w:ascii="Arial" w:eastAsia="宋体"/>
                <w:sz w:val="21"/>
                <w:lang w:val="en-US" w:eastAsia="zh-CN"/>
              </w:rPr>
            </w:pPr>
            <w:r>
              <w:rPr>
                <w:rFonts w:hint="eastAsia" w:ascii="Arial"/>
                <w:sz w:val="21"/>
                <w:lang w:val="en-US" w:eastAsia="zh-CN"/>
              </w:rPr>
              <w:t>21.29</w:t>
            </w:r>
          </w:p>
        </w:tc>
        <w:tc>
          <w:tcPr>
            <w:tcW w:w="1458" w:type="dxa"/>
            <w:noWrap w:val="0"/>
            <w:vAlign w:val="center"/>
          </w:tcPr>
          <w:p w14:paraId="4409B6B4">
            <w:pPr>
              <w:jc w:val="center"/>
              <w:rPr>
                <w:rFonts w:hint="default" w:ascii="Arial" w:eastAsia="宋体"/>
                <w:sz w:val="21"/>
                <w:lang w:val="en-US" w:eastAsia="zh-CN"/>
              </w:rPr>
            </w:pPr>
            <w:r>
              <w:rPr>
                <w:rFonts w:hint="eastAsia" w:ascii="Arial"/>
                <w:sz w:val="21"/>
                <w:lang w:val="en-US" w:eastAsia="zh-CN"/>
              </w:rPr>
              <w:t>87.04%</w:t>
            </w:r>
          </w:p>
        </w:tc>
        <w:tc>
          <w:tcPr>
            <w:tcW w:w="2202" w:type="dxa"/>
            <w:gridSpan w:val="3"/>
            <w:noWrap w:val="0"/>
            <w:vAlign w:val="center"/>
          </w:tcPr>
          <w:p w14:paraId="6929FD4E">
            <w:pPr>
              <w:jc w:val="center"/>
              <w:rPr>
                <w:rFonts w:hint="default" w:ascii="Arial" w:eastAsia="宋体"/>
                <w:sz w:val="21"/>
                <w:lang w:val="en-US" w:eastAsia="zh-CN"/>
              </w:rPr>
            </w:pPr>
            <w:r>
              <w:rPr>
                <w:rFonts w:hint="eastAsia" w:ascii="Arial"/>
                <w:sz w:val="21"/>
                <w:lang w:val="en-US" w:eastAsia="zh-CN"/>
              </w:rPr>
              <w:t>17.41</w:t>
            </w:r>
          </w:p>
        </w:tc>
      </w:tr>
      <w:tr w14:paraId="4CD39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tcBorders>
              <w:top w:val="nil"/>
            </w:tcBorders>
            <w:noWrap w:val="0"/>
            <w:vAlign w:val="center"/>
          </w:tcPr>
          <w:p w14:paraId="1FA498A7">
            <w:pPr>
              <w:jc w:val="center"/>
              <w:rPr>
                <w:rFonts w:ascii="Arial"/>
                <w:sz w:val="21"/>
              </w:rPr>
            </w:pPr>
          </w:p>
          <w:p w14:paraId="16C1F5CB">
            <w:pPr>
              <w:jc w:val="center"/>
              <w:rPr>
                <w:rFonts w:ascii="Arial"/>
                <w:sz w:val="21"/>
              </w:rPr>
            </w:pPr>
          </w:p>
          <w:p w14:paraId="4E70C5C4">
            <w:pPr>
              <w:jc w:val="center"/>
              <w:rPr>
                <w:rFonts w:ascii="Arial"/>
                <w:sz w:val="21"/>
              </w:rPr>
            </w:pPr>
          </w:p>
        </w:tc>
        <w:tc>
          <w:tcPr>
            <w:tcW w:w="1119" w:type="dxa"/>
            <w:noWrap w:val="0"/>
            <w:vAlign w:val="center"/>
          </w:tcPr>
          <w:p w14:paraId="79DFD9D7">
            <w:pPr>
              <w:spacing w:before="59" w:line="215" w:lineRule="auto"/>
              <w:ind w:left="112" w:right="108"/>
              <w:jc w:val="center"/>
            </w:pPr>
          </w:p>
        </w:tc>
        <w:tc>
          <w:tcPr>
            <w:tcW w:w="1329" w:type="dxa"/>
            <w:noWrap w:val="0"/>
            <w:vAlign w:val="center"/>
          </w:tcPr>
          <w:p w14:paraId="458336CE">
            <w:pPr>
              <w:jc w:val="center"/>
              <w:rPr>
                <w:rFonts w:hint="eastAsia" w:ascii="Arial"/>
                <w:sz w:val="21"/>
                <w:lang w:val="en-US" w:eastAsia="zh-CN"/>
              </w:rPr>
            </w:pPr>
          </w:p>
        </w:tc>
        <w:tc>
          <w:tcPr>
            <w:tcW w:w="1318" w:type="dxa"/>
            <w:gridSpan w:val="2"/>
            <w:noWrap w:val="0"/>
            <w:vAlign w:val="center"/>
          </w:tcPr>
          <w:p w14:paraId="112CEA15">
            <w:pPr>
              <w:jc w:val="center"/>
              <w:rPr>
                <w:rFonts w:hint="eastAsia" w:ascii="Arial"/>
                <w:sz w:val="21"/>
                <w:lang w:val="en-US" w:eastAsia="zh-CN"/>
              </w:rPr>
            </w:pPr>
          </w:p>
        </w:tc>
        <w:tc>
          <w:tcPr>
            <w:tcW w:w="1458" w:type="dxa"/>
            <w:noWrap w:val="0"/>
            <w:vAlign w:val="center"/>
          </w:tcPr>
          <w:p w14:paraId="6468E64F">
            <w:pPr>
              <w:jc w:val="center"/>
              <w:rPr>
                <w:rFonts w:hint="eastAsia" w:ascii="Arial"/>
                <w:sz w:val="21"/>
                <w:lang w:val="en-US" w:eastAsia="zh-CN"/>
              </w:rPr>
            </w:pPr>
          </w:p>
        </w:tc>
        <w:tc>
          <w:tcPr>
            <w:tcW w:w="2202" w:type="dxa"/>
            <w:gridSpan w:val="3"/>
            <w:noWrap w:val="0"/>
            <w:vAlign w:val="center"/>
          </w:tcPr>
          <w:p w14:paraId="20919466">
            <w:pPr>
              <w:jc w:val="center"/>
              <w:rPr>
                <w:rFonts w:hint="eastAsia" w:ascii="Arial"/>
                <w:sz w:val="21"/>
                <w:lang w:val="en-US" w:eastAsia="zh-CN"/>
              </w:rPr>
            </w:pPr>
          </w:p>
        </w:tc>
      </w:tr>
      <w:tr w14:paraId="0F6D3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center"/>
          </w:tcPr>
          <w:p w14:paraId="49789488">
            <w:pPr>
              <w:spacing w:line="269" w:lineRule="auto"/>
              <w:jc w:val="center"/>
              <w:rPr>
                <w:rFonts w:ascii="Arial"/>
                <w:sz w:val="21"/>
              </w:rPr>
            </w:pPr>
          </w:p>
          <w:p w14:paraId="1234B418">
            <w:pPr>
              <w:spacing w:line="269" w:lineRule="auto"/>
              <w:jc w:val="center"/>
              <w:rPr>
                <w:rFonts w:ascii="Arial"/>
                <w:sz w:val="21"/>
              </w:rPr>
            </w:pPr>
          </w:p>
          <w:p w14:paraId="468E6E1A">
            <w:pPr>
              <w:spacing w:line="269" w:lineRule="auto"/>
              <w:jc w:val="center"/>
              <w:rPr>
                <w:rFonts w:ascii="Arial"/>
                <w:sz w:val="21"/>
              </w:rPr>
            </w:pPr>
          </w:p>
          <w:p w14:paraId="68A747F5">
            <w:pPr>
              <w:spacing w:line="270" w:lineRule="auto"/>
              <w:jc w:val="center"/>
              <w:rPr>
                <w:rFonts w:ascii="Arial"/>
                <w:sz w:val="21"/>
              </w:rPr>
            </w:pPr>
          </w:p>
          <w:p w14:paraId="0FB2DF23">
            <w:pPr>
              <w:spacing w:line="270" w:lineRule="auto"/>
              <w:jc w:val="center"/>
              <w:rPr>
                <w:rFonts w:ascii="Arial"/>
                <w:sz w:val="21"/>
              </w:rPr>
            </w:pPr>
          </w:p>
          <w:p w14:paraId="55157A65">
            <w:pPr>
              <w:spacing w:line="270" w:lineRule="auto"/>
              <w:jc w:val="center"/>
              <w:rPr>
                <w:rFonts w:ascii="Arial"/>
                <w:sz w:val="21"/>
              </w:rPr>
            </w:pPr>
          </w:p>
          <w:p w14:paraId="3FBD8A9B">
            <w:pPr>
              <w:spacing w:line="270" w:lineRule="auto"/>
              <w:jc w:val="center"/>
              <w:rPr>
                <w:rFonts w:ascii="Arial"/>
                <w:sz w:val="21"/>
              </w:rPr>
            </w:pPr>
          </w:p>
          <w:p w14:paraId="4935525B">
            <w:pPr>
              <w:jc w:val="center"/>
              <w:rPr>
                <w:b/>
                <w:bCs/>
              </w:rPr>
            </w:pPr>
          </w:p>
          <w:p w14:paraId="0EA1237F">
            <w:pPr>
              <w:jc w:val="center"/>
              <w:rPr>
                <w:b/>
                <w:bCs/>
              </w:rPr>
            </w:pPr>
            <w:r>
              <w:rPr>
                <w:b/>
                <w:bCs/>
              </w:rPr>
              <w:t>年</w:t>
            </w:r>
          </w:p>
          <w:p w14:paraId="7ECA037A">
            <w:pPr>
              <w:jc w:val="center"/>
              <w:rPr>
                <w:b/>
                <w:bCs/>
              </w:rPr>
            </w:pPr>
            <w:r>
              <w:rPr>
                <w:b/>
                <w:bCs/>
              </w:rPr>
              <w:t>度</w:t>
            </w:r>
          </w:p>
          <w:p w14:paraId="2A60BDC0">
            <w:pPr>
              <w:jc w:val="center"/>
              <w:rPr>
                <w:b/>
                <w:bCs/>
              </w:rPr>
            </w:pPr>
            <w:r>
              <w:rPr>
                <w:b/>
                <w:bCs/>
              </w:rPr>
              <w:t>绩</w:t>
            </w:r>
          </w:p>
          <w:p w14:paraId="1E982C48">
            <w:pPr>
              <w:jc w:val="center"/>
              <w:rPr>
                <w:b/>
                <w:bCs/>
              </w:rPr>
            </w:pPr>
            <w:r>
              <w:rPr>
                <w:b/>
                <w:bCs/>
              </w:rPr>
              <w:t>效</w:t>
            </w:r>
          </w:p>
          <w:p w14:paraId="1B1F327C">
            <w:pPr>
              <w:jc w:val="center"/>
              <w:rPr>
                <w:b/>
                <w:bCs/>
              </w:rPr>
            </w:pPr>
            <w:r>
              <w:rPr>
                <w:b/>
                <w:bCs/>
              </w:rPr>
              <w:t>目</w:t>
            </w:r>
          </w:p>
          <w:p w14:paraId="4C66547D">
            <w:pPr>
              <w:jc w:val="center"/>
              <w:rPr>
                <w:b/>
                <w:bCs/>
              </w:rPr>
            </w:pPr>
            <w:r>
              <w:rPr>
                <w:b/>
                <w:bCs/>
              </w:rPr>
              <w:t>标</w:t>
            </w:r>
          </w:p>
          <w:p w14:paraId="417D8743">
            <w:pPr>
              <w:jc w:val="center"/>
              <w:rPr>
                <w:b/>
                <w:bCs/>
              </w:rPr>
            </w:pPr>
          </w:p>
          <w:p w14:paraId="0AB89F43">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center"/>
          </w:tcPr>
          <w:p w14:paraId="5CECE99C">
            <w:pPr>
              <w:spacing w:before="54" w:line="213" w:lineRule="auto"/>
              <w:ind w:left="110" w:right="114"/>
              <w:jc w:val="center"/>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center"/>
          </w:tcPr>
          <w:p w14:paraId="0FB0A71B">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center"/>
          </w:tcPr>
          <w:p w14:paraId="30DC1851">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14:paraId="283086D2">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BF59420">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center"/>
          </w:tcPr>
          <w:p w14:paraId="580E5EAD">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F1B026F">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14:paraId="0808844D">
            <w:pPr>
              <w:spacing w:before="162" w:line="219" w:lineRule="auto"/>
              <w:ind w:left="220"/>
              <w:jc w:val="center"/>
              <w:rPr>
                <w:rFonts w:ascii="宋体" w:hAnsi="宋体" w:eastAsia="宋体" w:cs="宋体"/>
                <w:sz w:val="22"/>
                <w:szCs w:val="22"/>
              </w:rPr>
            </w:pPr>
            <w:r>
              <w:rPr>
                <w:rFonts w:ascii="宋体" w:hAnsi="宋体" w:eastAsia="宋体" w:cs="宋体"/>
                <w:spacing w:val="-3"/>
                <w:sz w:val="22"/>
                <w:szCs w:val="22"/>
              </w:rPr>
              <w:t>得分</w:t>
            </w:r>
          </w:p>
        </w:tc>
      </w:tr>
      <w:tr w14:paraId="5997E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center"/>
          </w:tcPr>
          <w:p w14:paraId="14D64158">
            <w:pPr>
              <w:jc w:val="center"/>
              <w:rPr>
                <w:rFonts w:ascii="Arial"/>
                <w:sz w:val="21"/>
              </w:rPr>
            </w:pPr>
          </w:p>
        </w:tc>
        <w:tc>
          <w:tcPr>
            <w:tcW w:w="689" w:type="dxa"/>
            <w:vMerge w:val="restart"/>
            <w:tcBorders>
              <w:bottom w:val="nil"/>
            </w:tcBorders>
            <w:noWrap w:val="0"/>
            <w:vAlign w:val="center"/>
          </w:tcPr>
          <w:p w14:paraId="5E84E5B9">
            <w:pPr>
              <w:jc w:val="center"/>
              <w:rPr>
                <w:b/>
                <w:bCs/>
              </w:rPr>
            </w:pPr>
          </w:p>
          <w:p w14:paraId="3AC68D91">
            <w:pPr>
              <w:jc w:val="center"/>
              <w:rPr>
                <w:b/>
                <w:bCs/>
              </w:rPr>
            </w:pPr>
          </w:p>
          <w:p w14:paraId="203CD931">
            <w:pPr>
              <w:jc w:val="center"/>
              <w:rPr>
                <w:b/>
                <w:bCs/>
              </w:rPr>
            </w:pPr>
          </w:p>
          <w:p w14:paraId="6F879CA4">
            <w:pPr>
              <w:jc w:val="center"/>
              <w:rPr>
                <w:b/>
                <w:bCs/>
              </w:rPr>
            </w:pPr>
            <w:r>
              <w:rPr>
                <w:b/>
                <w:bCs/>
              </w:rPr>
              <w:t>产出</w:t>
            </w:r>
          </w:p>
          <w:p w14:paraId="572220BC">
            <w:pPr>
              <w:jc w:val="center"/>
              <w:rPr>
                <w:rFonts w:hint="eastAsia" w:eastAsia="宋体"/>
                <w:b/>
                <w:bCs/>
                <w:lang w:val="en-US" w:eastAsia="zh-CN"/>
              </w:rPr>
            </w:pPr>
            <w:r>
              <w:rPr>
                <w:rFonts w:hint="eastAsia"/>
                <w:b/>
                <w:bCs/>
                <w:lang w:val="en-US" w:eastAsia="zh-CN"/>
              </w:rPr>
              <w:t>指标</w:t>
            </w:r>
          </w:p>
        </w:tc>
        <w:tc>
          <w:tcPr>
            <w:tcW w:w="1119" w:type="dxa"/>
            <w:noWrap w:val="0"/>
            <w:vAlign w:val="center"/>
          </w:tcPr>
          <w:p w14:paraId="0497D28B">
            <w:pPr>
              <w:jc w:val="center"/>
              <w:rPr>
                <w:rFonts w:hint="eastAsia" w:ascii="宋体" w:hAnsi="宋体" w:eastAsia="宋体" w:cs="宋体"/>
                <w:sz w:val="20"/>
                <w:szCs w:val="20"/>
              </w:rPr>
            </w:pPr>
            <w:r>
              <w:rPr>
                <w:rFonts w:hint="eastAsia" w:ascii="宋体" w:hAnsi="宋体" w:eastAsia="宋体" w:cs="宋体"/>
                <w:sz w:val="20"/>
                <w:szCs w:val="20"/>
              </w:rPr>
              <w:t>数量指标</w:t>
            </w:r>
          </w:p>
        </w:tc>
        <w:tc>
          <w:tcPr>
            <w:tcW w:w="2647" w:type="dxa"/>
            <w:gridSpan w:val="3"/>
            <w:noWrap w:val="0"/>
            <w:vAlign w:val="center"/>
          </w:tcPr>
          <w:p w14:paraId="57E78EB3">
            <w:pPr>
              <w:jc w:val="center"/>
              <w:rPr>
                <w:rFonts w:hint="eastAsia" w:ascii="宋体" w:hAnsi="宋体" w:eastAsia="宋体" w:cs="宋体"/>
                <w:sz w:val="20"/>
                <w:szCs w:val="20"/>
              </w:rPr>
            </w:pPr>
            <w:r>
              <w:rPr>
                <w:rFonts w:hint="eastAsia" w:ascii="宋体" w:hAnsi="宋体" w:eastAsia="宋体" w:cs="宋体"/>
                <w:sz w:val="20"/>
                <w:szCs w:val="20"/>
              </w:rPr>
              <w:t>财务软件使用覆盖率</w:t>
            </w:r>
          </w:p>
        </w:tc>
        <w:tc>
          <w:tcPr>
            <w:tcW w:w="1458" w:type="dxa"/>
            <w:noWrap w:val="0"/>
            <w:vAlign w:val="center"/>
          </w:tcPr>
          <w:p w14:paraId="5F23859B">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318" w:type="dxa"/>
            <w:gridSpan w:val="2"/>
            <w:noWrap w:val="0"/>
            <w:vAlign w:val="center"/>
          </w:tcPr>
          <w:p w14:paraId="06F88E15">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884" w:type="dxa"/>
            <w:noWrap w:val="0"/>
            <w:vAlign w:val="center"/>
          </w:tcPr>
          <w:p w14:paraId="5FF703C4">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w:t>
            </w:r>
          </w:p>
        </w:tc>
      </w:tr>
      <w:tr w14:paraId="318BE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center"/>
          </w:tcPr>
          <w:p w14:paraId="67FCC93B">
            <w:pPr>
              <w:jc w:val="center"/>
              <w:rPr>
                <w:rFonts w:ascii="Arial"/>
                <w:sz w:val="21"/>
              </w:rPr>
            </w:pPr>
          </w:p>
        </w:tc>
        <w:tc>
          <w:tcPr>
            <w:tcW w:w="689" w:type="dxa"/>
            <w:vMerge w:val="continue"/>
            <w:tcBorders>
              <w:top w:val="nil"/>
              <w:bottom w:val="nil"/>
            </w:tcBorders>
            <w:noWrap w:val="0"/>
            <w:vAlign w:val="center"/>
          </w:tcPr>
          <w:p w14:paraId="0D8060FD">
            <w:pPr>
              <w:jc w:val="center"/>
              <w:rPr>
                <w:b/>
                <w:bCs/>
              </w:rPr>
            </w:pPr>
          </w:p>
        </w:tc>
        <w:tc>
          <w:tcPr>
            <w:tcW w:w="1119" w:type="dxa"/>
            <w:noWrap w:val="0"/>
            <w:vAlign w:val="center"/>
          </w:tcPr>
          <w:p w14:paraId="2549DCC4">
            <w:pPr>
              <w:jc w:val="center"/>
              <w:rPr>
                <w:rFonts w:hint="eastAsia" w:ascii="宋体" w:hAnsi="宋体" w:eastAsia="宋体" w:cs="宋体"/>
                <w:sz w:val="20"/>
                <w:szCs w:val="20"/>
              </w:rPr>
            </w:pPr>
            <w:r>
              <w:rPr>
                <w:rFonts w:hint="eastAsia" w:ascii="宋体" w:hAnsi="宋体" w:eastAsia="宋体" w:cs="宋体"/>
                <w:sz w:val="20"/>
                <w:szCs w:val="20"/>
              </w:rPr>
              <w:t>质量指标</w:t>
            </w:r>
          </w:p>
        </w:tc>
        <w:tc>
          <w:tcPr>
            <w:tcW w:w="2647" w:type="dxa"/>
            <w:gridSpan w:val="3"/>
            <w:noWrap w:val="0"/>
            <w:vAlign w:val="center"/>
          </w:tcPr>
          <w:p w14:paraId="2E0EE51D">
            <w:pPr>
              <w:jc w:val="center"/>
              <w:rPr>
                <w:rFonts w:hint="eastAsia" w:ascii="宋体" w:hAnsi="宋体" w:eastAsia="宋体" w:cs="宋体"/>
                <w:sz w:val="20"/>
                <w:szCs w:val="20"/>
              </w:rPr>
            </w:pPr>
            <w:r>
              <w:rPr>
                <w:rFonts w:hint="eastAsia" w:ascii="宋体" w:hAnsi="宋体" w:eastAsia="宋体" w:cs="宋体"/>
                <w:sz w:val="20"/>
                <w:szCs w:val="20"/>
              </w:rPr>
              <w:t>确保全区财政相关网络及软件的正常运行</w:t>
            </w:r>
          </w:p>
        </w:tc>
        <w:tc>
          <w:tcPr>
            <w:tcW w:w="1458" w:type="dxa"/>
            <w:noWrap w:val="0"/>
            <w:vAlign w:val="center"/>
          </w:tcPr>
          <w:p w14:paraId="60808CB9">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正常</w:t>
            </w:r>
          </w:p>
        </w:tc>
        <w:tc>
          <w:tcPr>
            <w:tcW w:w="1318" w:type="dxa"/>
            <w:gridSpan w:val="2"/>
            <w:noWrap w:val="0"/>
            <w:vAlign w:val="center"/>
          </w:tcPr>
          <w:p w14:paraId="4964A5A4">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正常</w:t>
            </w:r>
          </w:p>
        </w:tc>
        <w:tc>
          <w:tcPr>
            <w:tcW w:w="884" w:type="dxa"/>
            <w:noWrap w:val="0"/>
            <w:vAlign w:val="center"/>
          </w:tcPr>
          <w:p w14:paraId="7F07CCE9">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w:t>
            </w:r>
          </w:p>
        </w:tc>
      </w:tr>
      <w:tr w14:paraId="2837B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center"/>
          </w:tcPr>
          <w:p w14:paraId="23EE31A4">
            <w:pPr>
              <w:jc w:val="center"/>
              <w:rPr>
                <w:rFonts w:ascii="Arial"/>
                <w:sz w:val="21"/>
              </w:rPr>
            </w:pPr>
          </w:p>
        </w:tc>
        <w:tc>
          <w:tcPr>
            <w:tcW w:w="689" w:type="dxa"/>
            <w:vMerge w:val="continue"/>
            <w:tcBorders>
              <w:top w:val="nil"/>
              <w:bottom w:val="nil"/>
            </w:tcBorders>
            <w:noWrap w:val="0"/>
            <w:vAlign w:val="center"/>
          </w:tcPr>
          <w:p w14:paraId="1E09F759">
            <w:pPr>
              <w:jc w:val="center"/>
              <w:rPr>
                <w:b/>
                <w:bCs/>
              </w:rPr>
            </w:pPr>
          </w:p>
        </w:tc>
        <w:tc>
          <w:tcPr>
            <w:tcW w:w="1119" w:type="dxa"/>
            <w:noWrap w:val="0"/>
            <w:vAlign w:val="center"/>
          </w:tcPr>
          <w:p w14:paraId="521819BB">
            <w:pPr>
              <w:spacing w:line="240" w:lineRule="auto"/>
              <w:ind w:left="0"/>
              <w:jc w:val="center"/>
              <w:rPr>
                <w:rFonts w:hint="eastAsia" w:ascii="宋体" w:hAnsi="宋体" w:eastAsia="宋体" w:cs="宋体"/>
                <w:sz w:val="20"/>
                <w:szCs w:val="20"/>
                <w:lang w:eastAsia="zh-CN"/>
              </w:rPr>
            </w:pPr>
            <w:r>
              <w:rPr>
                <w:rFonts w:hint="eastAsia" w:ascii="宋体" w:hAnsi="宋体" w:eastAsia="宋体" w:cs="宋体"/>
                <w:spacing w:val="-6"/>
                <w:position w:val="1"/>
                <w:sz w:val="20"/>
                <w:szCs w:val="20"/>
                <w:lang w:val="en-US" w:eastAsia="zh-CN"/>
              </w:rPr>
              <w:t>时效指标</w:t>
            </w:r>
          </w:p>
        </w:tc>
        <w:tc>
          <w:tcPr>
            <w:tcW w:w="2647" w:type="dxa"/>
            <w:gridSpan w:val="3"/>
            <w:noWrap w:val="0"/>
            <w:vAlign w:val="center"/>
          </w:tcPr>
          <w:p w14:paraId="79793804">
            <w:pPr>
              <w:spacing w:line="240" w:lineRule="auto"/>
              <w:ind w:lef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财务软件维护保障时间</w:t>
            </w:r>
          </w:p>
        </w:tc>
        <w:tc>
          <w:tcPr>
            <w:tcW w:w="1458" w:type="dxa"/>
            <w:noWrap w:val="0"/>
            <w:vAlign w:val="center"/>
          </w:tcPr>
          <w:p w14:paraId="72D09F03">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＜1天</w:t>
            </w:r>
          </w:p>
        </w:tc>
        <w:tc>
          <w:tcPr>
            <w:tcW w:w="1318" w:type="dxa"/>
            <w:gridSpan w:val="2"/>
            <w:noWrap w:val="0"/>
            <w:vAlign w:val="center"/>
          </w:tcPr>
          <w:p w14:paraId="0D97D97B">
            <w:pPr>
              <w:jc w:val="center"/>
              <w:rPr>
                <w:rFonts w:hint="eastAsia" w:ascii="宋体" w:hAnsi="宋体" w:eastAsia="宋体" w:cs="宋体"/>
                <w:sz w:val="20"/>
                <w:szCs w:val="20"/>
              </w:rPr>
            </w:pPr>
            <w:r>
              <w:rPr>
                <w:rFonts w:hint="eastAsia" w:ascii="宋体" w:hAnsi="宋体" w:eastAsia="宋体" w:cs="宋体"/>
                <w:sz w:val="20"/>
                <w:szCs w:val="20"/>
                <w:lang w:val="en-US" w:eastAsia="zh-CN"/>
              </w:rPr>
              <w:t>＜1天</w:t>
            </w:r>
          </w:p>
        </w:tc>
        <w:tc>
          <w:tcPr>
            <w:tcW w:w="884" w:type="dxa"/>
            <w:noWrap w:val="0"/>
            <w:vAlign w:val="center"/>
          </w:tcPr>
          <w:p w14:paraId="57D23BE2">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w:t>
            </w:r>
          </w:p>
        </w:tc>
      </w:tr>
      <w:tr w14:paraId="7836C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center"/>
          </w:tcPr>
          <w:p w14:paraId="334F8107">
            <w:pPr>
              <w:jc w:val="center"/>
              <w:rPr>
                <w:rFonts w:ascii="Arial"/>
                <w:sz w:val="21"/>
              </w:rPr>
            </w:pPr>
          </w:p>
        </w:tc>
        <w:tc>
          <w:tcPr>
            <w:tcW w:w="689" w:type="dxa"/>
            <w:vMerge w:val="continue"/>
            <w:tcBorders>
              <w:top w:val="nil"/>
            </w:tcBorders>
            <w:noWrap w:val="0"/>
            <w:vAlign w:val="center"/>
          </w:tcPr>
          <w:p w14:paraId="4FCEA673">
            <w:pPr>
              <w:jc w:val="center"/>
              <w:rPr>
                <w:b/>
                <w:bCs/>
              </w:rPr>
            </w:pPr>
          </w:p>
        </w:tc>
        <w:tc>
          <w:tcPr>
            <w:tcW w:w="1119" w:type="dxa"/>
            <w:noWrap w:val="0"/>
            <w:vAlign w:val="center"/>
          </w:tcPr>
          <w:p w14:paraId="059425B5">
            <w:pPr>
              <w:spacing w:before="176" w:line="343" w:lineRule="exact"/>
              <w:ind w:left="331"/>
              <w:jc w:val="center"/>
              <w:rPr>
                <w:rFonts w:hint="eastAsia" w:ascii="宋体" w:hAnsi="宋体" w:eastAsia="宋体" w:cs="宋体"/>
                <w:sz w:val="20"/>
                <w:szCs w:val="20"/>
              </w:rPr>
            </w:pPr>
            <w:r>
              <w:rPr>
                <w:rFonts w:hint="eastAsia" w:ascii="宋体" w:hAnsi="宋体" w:eastAsia="宋体" w:cs="宋体"/>
                <w:spacing w:val="-6"/>
                <w:position w:val="2"/>
                <w:sz w:val="20"/>
                <w:szCs w:val="20"/>
              </w:rPr>
              <w:t>……</w:t>
            </w:r>
          </w:p>
        </w:tc>
        <w:tc>
          <w:tcPr>
            <w:tcW w:w="2647" w:type="dxa"/>
            <w:gridSpan w:val="3"/>
            <w:noWrap w:val="0"/>
            <w:vAlign w:val="center"/>
          </w:tcPr>
          <w:p w14:paraId="54AC2C0E">
            <w:pPr>
              <w:jc w:val="center"/>
              <w:rPr>
                <w:rFonts w:hint="eastAsia" w:ascii="宋体" w:hAnsi="宋体" w:eastAsia="宋体" w:cs="宋体"/>
                <w:sz w:val="20"/>
                <w:szCs w:val="20"/>
              </w:rPr>
            </w:pPr>
          </w:p>
        </w:tc>
        <w:tc>
          <w:tcPr>
            <w:tcW w:w="1458" w:type="dxa"/>
            <w:noWrap w:val="0"/>
            <w:vAlign w:val="center"/>
          </w:tcPr>
          <w:p w14:paraId="239ED4B7">
            <w:pPr>
              <w:jc w:val="center"/>
              <w:rPr>
                <w:rFonts w:hint="eastAsia" w:ascii="宋体" w:hAnsi="宋体" w:eastAsia="宋体" w:cs="宋体"/>
                <w:sz w:val="20"/>
                <w:szCs w:val="20"/>
              </w:rPr>
            </w:pPr>
          </w:p>
        </w:tc>
        <w:tc>
          <w:tcPr>
            <w:tcW w:w="1318" w:type="dxa"/>
            <w:gridSpan w:val="2"/>
            <w:noWrap w:val="0"/>
            <w:vAlign w:val="center"/>
          </w:tcPr>
          <w:p w14:paraId="40225C3C">
            <w:pPr>
              <w:jc w:val="center"/>
              <w:rPr>
                <w:rFonts w:hint="eastAsia" w:ascii="宋体" w:hAnsi="宋体" w:eastAsia="宋体" w:cs="宋体"/>
                <w:sz w:val="20"/>
                <w:szCs w:val="20"/>
              </w:rPr>
            </w:pPr>
          </w:p>
        </w:tc>
        <w:tc>
          <w:tcPr>
            <w:tcW w:w="884" w:type="dxa"/>
            <w:noWrap w:val="0"/>
            <w:vAlign w:val="center"/>
          </w:tcPr>
          <w:p w14:paraId="1C020D7D">
            <w:pPr>
              <w:jc w:val="center"/>
              <w:rPr>
                <w:rFonts w:hint="eastAsia" w:ascii="宋体" w:hAnsi="宋体" w:eastAsia="宋体" w:cs="宋体"/>
                <w:sz w:val="20"/>
                <w:szCs w:val="20"/>
              </w:rPr>
            </w:pPr>
          </w:p>
        </w:tc>
      </w:tr>
      <w:tr w14:paraId="7E87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center"/>
          </w:tcPr>
          <w:p w14:paraId="6636F33E">
            <w:pPr>
              <w:jc w:val="center"/>
              <w:rPr>
                <w:rFonts w:ascii="Arial"/>
                <w:sz w:val="21"/>
              </w:rPr>
            </w:pPr>
          </w:p>
        </w:tc>
        <w:tc>
          <w:tcPr>
            <w:tcW w:w="689" w:type="dxa"/>
            <w:vMerge w:val="restart"/>
            <w:tcBorders>
              <w:bottom w:val="nil"/>
            </w:tcBorders>
            <w:noWrap w:val="0"/>
            <w:vAlign w:val="center"/>
          </w:tcPr>
          <w:p w14:paraId="719DF9FB">
            <w:pPr>
              <w:jc w:val="center"/>
              <w:rPr>
                <w:rFonts w:ascii="Calibri" w:hAnsi="Calibri" w:eastAsia="宋体" w:cs="Times New Roman"/>
                <w:b/>
                <w:bCs/>
              </w:rPr>
            </w:pPr>
          </w:p>
          <w:p w14:paraId="2FCE168B">
            <w:pPr>
              <w:jc w:val="center"/>
              <w:rPr>
                <w:rFonts w:ascii="Calibri" w:hAnsi="Calibri" w:eastAsia="宋体" w:cs="Times New Roman"/>
                <w:b/>
                <w:bCs/>
              </w:rPr>
            </w:pPr>
          </w:p>
          <w:p w14:paraId="0E76E8B2">
            <w:pPr>
              <w:jc w:val="center"/>
              <w:rPr>
                <w:rFonts w:ascii="Calibri" w:hAnsi="Calibri" w:eastAsia="宋体" w:cs="Times New Roman"/>
                <w:b/>
                <w:bCs/>
              </w:rPr>
            </w:pPr>
          </w:p>
          <w:p w14:paraId="4A97C00C">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center"/>
          </w:tcPr>
          <w:p w14:paraId="0C8C2FF5">
            <w:pPr>
              <w:spacing w:line="240" w:lineRule="auto"/>
              <w:ind w:left="0" w:leftChars="0"/>
              <w:jc w:val="center"/>
              <w:rPr>
                <w:rFonts w:hint="eastAsia" w:ascii="宋体" w:hAnsi="宋体" w:eastAsia="宋体" w:cs="宋体"/>
                <w:kern w:val="2"/>
                <w:sz w:val="20"/>
                <w:szCs w:val="20"/>
                <w:lang w:val="en-US" w:eastAsia="zh-CN" w:bidi="ar-SA"/>
              </w:rPr>
            </w:pPr>
            <w:r>
              <w:rPr>
                <w:rFonts w:hint="eastAsia" w:ascii="宋体" w:hAnsi="宋体" w:eastAsia="宋体" w:cs="宋体"/>
                <w:spacing w:val="-6"/>
                <w:position w:val="2"/>
                <w:sz w:val="20"/>
                <w:szCs w:val="20"/>
              </w:rPr>
              <w:t>环境效益指标</w:t>
            </w:r>
          </w:p>
        </w:tc>
        <w:tc>
          <w:tcPr>
            <w:tcW w:w="2647" w:type="dxa"/>
            <w:gridSpan w:val="3"/>
            <w:noWrap w:val="0"/>
            <w:vAlign w:val="center"/>
          </w:tcPr>
          <w:p w14:paraId="565ED40B">
            <w:pPr>
              <w:spacing w:line="240" w:lineRule="auto"/>
              <w:ind w:left="0"/>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电子支付和电子记账，减少纸张浪费</w:t>
            </w:r>
          </w:p>
        </w:tc>
        <w:tc>
          <w:tcPr>
            <w:tcW w:w="1458" w:type="dxa"/>
            <w:noWrap w:val="0"/>
            <w:vAlign w:val="center"/>
          </w:tcPr>
          <w:p w14:paraId="62A44315">
            <w:pPr>
              <w:spacing w:line="240" w:lineRule="auto"/>
              <w:ind w:left="0"/>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减少</w:t>
            </w:r>
          </w:p>
        </w:tc>
        <w:tc>
          <w:tcPr>
            <w:tcW w:w="1318" w:type="dxa"/>
            <w:gridSpan w:val="2"/>
            <w:noWrap w:val="0"/>
            <w:vAlign w:val="center"/>
          </w:tcPr>
          <w:p w14:paraId="7DE62BEC">
            <w:pPr>
              <w:spacing w:line="240" w:lineRule="auto"/>
              <w:ind w:left="0"/>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减少</w:t>
            </w:r>
          </w:p>
        </w:tc>
        <w:tc>
          <w:tcPr>
            <w:tcW w:w="884" w:type="dxa"/>
            <w:noWrap w:val="0"/>
            <w:vAlign w:val="center"/>
          </w:tcPr>
          <w:p w14:paraId="4355C2DC">
            <w:pPr>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20</w:t>
            </w:r>
          </w:p>
        </w:tc>
      </w:tr>
      <w:tr w14:paraId="5CF17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center"/>
          </w:tcPr>
          <w:p w14:paraId="2E8146B2">
            <w:pPr>
              <w:jc w:val="center"/>
              <w:rPr>
                <w:rFonts w:ascii="Arial"/>
                <w:sz w:val="21"/>
              </w:rPr>
            </w:pPr>
          </w:p>
        </w:tc>
        <w:tc>
          <w:tcPr>
            <w:tcW w:w="689" w:type="dxa"/>
            <w:vMerge w:val="continue"/>
            <w:tcBorders>
              <w:top w:val="nil"/>
              <w:bottom w:val="nil"/>
            </w:tcBorders>
            <w:noWrap w:val="0"/>
            <w:vAlign w:val="center"/>
          </w:tcPr>
          <w:p w14:paraId="29E17EE6">
            <w:pPr>
              <w:jc w:val="center"/>
              <w:rPr>
                <w:rFonts w:ascii="Calibri" w:hAnsi="Calibri" w:eastAsia="宋体" w:cs="Times New Roman"/>
                <w:b/>
                <w:bCs/>
              </w:rPr>
            </w:pPr>
          </w:p>
        </w:tc>
        <w:tc>
          <w:tcPr>
            <w:tcW w:w="1119" w:type="dxa"/>
            <w:noWrap w:val="0"/>
            <w:vAlign w:val="center"/>
          </w:tcPr>
          <w:p w14:paraId="1A43EFC0">
            <w:pPr>
              <w:spacing w:before="177" w:line="342" w:lineRule="exact"/>
              <w:ind w:left="331"/>
              <w:jc w:val="center"/>
              <w:rPr>
                <w:rFonts w:hint="eastAsia" w:ascii="宋体" w:hAnsi="宋体" w:eastAsia="宋体" w:cs="宋体"/>
                <w:sz w:val="20"/>
                <w:szCs w:val="20"/>
                <w:lang w:val="en-US" w:eastAsia="zh-CN"/>
              </w:rPr>
            </w:pPr>
          </w:p>
        </w:tc>
        <w:tc>
          <w:tcPr>
            <w:tcW w:w="2647" w:type="dxa"/>
            <w:gridSpan w:val="3"/>
            <w:noWrap w:val="0"/>
            <w:vAlign w:val="center"/>
          </w:tcPr>
          <w:p w14:paraId="7FCA572C">
            <w:pPr>
              <w:jc w:val="center"/>
              <w:rPr>
                <w:rFonts w:hint="default" w:ascii="宋体" w:hAnsi="宋体" w:eastAsia="宋体" w:cs="宋体"/>
                <w:sz w:val="20"/>
                <w:szCs w:val="20"/>
                <w:lang w:val="en-US" w:eastAsia="zh-CN"/>
              </w:rPr>
            </w:pPr>
          </w:p>
        </w:tc>
        <w:tc>
          <w:tcPr>
            <w:tcW w:w="1458" w:type="dxa"/>
            <w:noWrap w:val="0"/>
            <w:vAlign w:val="center"/>
          </w:tcPr>
          <w:p w14:paraId="60E12B19">
            <w:pPr>
              <w:jc w:val="center"/>
              <w:rPr>
                <w:rFonts w:hint="eastAsia" w:ascii="宋体" w:hAnsi="宋体" w:eastAsia="宋体" w:cs="宋体"/>
                <w:sz w:val="20"/>
                <w:szCs w:val="20"/>
              </w:rPr>
            </w:pPr>
          </w:p>
        </w:tc>
        <w:tc>
          <w:tcPr>
            <w:tcW w:w="1318" w:type="dxa"/>
            <w:gridSpan w:val="2"/>
            <w:noWrap w:val="0"/>
            <w:vAlign w:val="center"/>
          </w:tcPr>
          <w:p w14:paraId="12726403">
            <w:pPr>
              <w:jc w:val="center"/>
              <w:rPr>
                <w:rFonts w:hint="eastAsia" w:ascii="宋体" w:hAnsi="宋体" w:eastAsia="宋体" w:cs="宋体"/>
                <w:sz w:val="20"/>
                <w:szCs w:val="20"/>
              </w:rPr>
            </w:pPr>
          </w:p>
        </w:tc>
        <w:tc>
          <w:tcPr>
            <w:tcW w:w="884" w:type="dxa"/>
            <w:noWrap w:val="0"/>
            <w:vAlign w:val="center"/>
          </w:tcPr>
          <w:p w14:paraId="3316F850">
            <w:pPr>
              <w:jc w:val="center"/>
              <w:rPr>
                <w:rFonts w:hint="default" w:ascii="宋体" w:hAnsi="宋体" w:eastAsia="宋体" w:cs="宋体"/>
                <w:sz w:val="20"/>
                <w:szCs w:val="20"/>
                <w:lang w:val="en-US" w:eastAsia="zh-CN"/>
              </w:rPr>
            </w:pPr>
          </w:p>
        </w:tc>
      </w:tr>
      <w:tr w14:paraId="7475C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center"/>
          </w:tcPr>
          <w:p w14:paraId="099853BB">
            <w:pPr>
              <w:jc w:val="center"/>
              <w:rPr>
                <w:rFonts w:ascii="Arial"/>
                <w:sz w:val="21"/>
              </w:rPr>
            </w:pPr>
          </w:p>
        </w:tc>
        <w:tc>
          <w:tcPr>
            <w:tcW w:w="689" w:type="dxa"/>
            <w:vMerge w:val="continue"/>
            <w:tcBorders>
              <w:top w:val="nil"/>
              <w:bottom w:val="nil"/>
            </w:tcBorders>
            <w:noWrap w:val="0"/>
            <w:vAlign w:val="center"/>
          </w:tcPr>
          <w:p w14:paraId="620A1F44">
            <w:pPr>
              <w:jc w:val="center"/>
              <w:rPr>
                <w:rFonts w:ascii="Calibri" w:hAnsi="Calibri" w:eastAsia="宋体" w:cs="Times New Roman"/>
                <w:b/>
                <w:bCs/>
              </w:rPr>
            </w:pPr>
          </w:p>
        </w:tc>
        <w:tc>
          <w:tcPr>
            <w:tcW w:w="1119" w:type="dxa"/>
            <w:noWrap w:val="0"/>
            <w:vAlign w:val="center"/>
          </w:tcPr>
          <w:p w14:paraId="0B6F871F">
            <w:pPr>
              <w:spacing w:before="178" w:line="340" w:lineRule="exact"/>
              <w:ind w:left="331"/>
              <w:jc w:val="center"/>
              <w:rPr>
                <w:rFonts w:hint="eastAsia" w:ascii="宋体" w:hAnsi="宋体" w:eastAsia="宋体" w:cs="宋体"/>
                <w:sz w:val="20"/>
                <w:szCs w:val="20"/>
              </w:rPr>
            </w:pPr>
            <w:r>
              <w:rPr>
                <w:rFonts w:hint="eastAsia" w:ascii="宋体" w:hAnsi="宋体" w:eastAsia="宋体" w:cs="宋体"/>
                <w:spacing w:val="-6"/>
                <w:position w:val="2"/>
                <w:sz w:val="20"/>
                <w:szCs w:val="20"/>
              </w:rPr>
              <w:t>……</w:t>
            </w:r>
          </w:p>
        </w:tc>
        <w:tc>
          <w:tcPr>
            <w:tcW w:w="2647" w:type="dxa"/>
            <w:gridSpan w:val="3"/>
            <w:noWrap w:val="0"/>
            <w:vAlign w:val="center"/>
          </w:tcPr>
          <w:p w14:paraId="0DAFE1F5">
            <w:pPr>
              <w:jc w:val="center"/>
              <w:rPr>
                <w:rFonts w:hint="eastAsia" w:ascii="宋体" w:hAnsi="宋体" w:eastAsia="宋体" w:cs="宋体"/>
                <w:sz w:val="20"/>
                <w:szCs w:val="20"/>
              </w:rPr>
            </w:pPr>
          </w:p>
        </w:tc>
        <w:tc>
          <w:tcPr>
            <w:tcW w:w="1458" w:type="dxa"/>
            <w:noWrap w:val="0"/>
            <w:vAlign w:val="center"/>
          </w:tcPr>
          <w:p w14:paraId="1DF14014">
            <w:pPr>
              <w:jc w:val="center"/>
              <w:rPr>
                <w:rFonts w:hint="eastAsia" w:ascii="宋体" w:hAnsi="宋体" w:eastAsia="宋体" w:cs="宋体"/>
                <w:sz w:val="20"/>
                <w:szCs w:val="20"/>
              </w:rPr>
            </w:pPr>
          </w:p>
        </w:tc>
        <w:tc>
          <w:tcPr>
            <w:tcW w:w="1318" w:type="dxa"/>
            <w:gridSpan w:val="2"/>
            <w:noWrap w:val="0"/>
            <w:vAlign w:val="center"/>
          </w:tcPr>
          <w:p w14:paraId="75AC7F2C">
            <w:pPr>
              <w:jc w:val="center"/>
              <w:rPr>
                <w:rFonts w:hint="eastAsia" w:ascii="宋体" w:hAnsi="宋体" w:eastAsia="宋体" w:cs="宋体"/>
                <w:sz w:val="20"/>
                <w:szCs w:val="20"/>
              </w:rPr>
            </w:pPr>
          </w:p>
        </w:tc>
        <w:tc>
          <w:tcPr>
            <w:tcW w:w="884" w:type="dxa"/>
            <w:noWrap w:val="0"/>
            <w:vAlign w:val="center"/>
          </w:tcPr>
          <w:p w14:paraId="39903C64">
            <w:pPr>
              <w:jc w:val="center"/>
              <w:rPr>
                <w:rFonts w:hint="eastAsia" w:ascii="宋体" w:hAnsi="宋体" w:eastAsia="宋体" w:cs="宋体"/>
                <w:sz w:val="20"/>
                <w:szCs w:val="20"/>
              </w:rPr>
            </w:pPr>
          </w:p>
        </w:tc>
      </w:tr>
      <w:tr w14:paraId="5A0CA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center"/>
          </w:tcPr>
          <w:p w14:paraId="3327F0C7">
            <w:pPr>
              <w:jc w:val="center"/>
              <w:rPr>
                <w:rFonts w:ascii="Arial"/>
                <w:sz w:val="21"/>
              </w:rPr>
            </w:pPr>
          </w:p>
        </w:tc>
        <w:tc>
          <w:tcPr>
            <w:tcW w:w="689" w:type="dxa"/>
            <w:vMerge w:val="continue"/>
            <w:tcBorders>
              <w:top w:val="nil"/>
            </w:tcBorders>
            <w:noWrap w:val="0"/>
            <w:vAlign w:val="center"/>
          </w:tcPr>
          <w:p w14:paraId="4A61BDA9">
            <w:pPr>
              <w:jc w:val="center"/>
              <w:rPr>
                <w:rFonts w:ascii="Calibri" w:hAnsi="Calibri" w:eastAsia="宋体" w:cs="Times New Roman"/>
                <w:b/>
                <w:bCs/>
              </w:rPr>
            </w:pPr>
          </w:p>
        </w:tc>
        <w:tc>
          <w:tcPr>
            <w:tcW w:w="1119" w:type="dxa"/>
            <w:noWrap w:val="0"/>
            <w:vAlign w:val="center"/>
          </w:tcPr>
          <w:p w14:paraId="79202114">
            <w:pPr>
              <w:jc w:val="center"/>
              <w:rPr>
                <w:rFonts w:hint="eastAsia" w:ascii="宋体" w:hAnsi="宋体" w:eastAsia="宋体" w:cs="宋体"/>
                <w:sz w:val="20"/>
                <w:szCs w:val="20"/>
              </w:rPr>
            </w:pPr>
          </w:p>
        </w:tc>
        <w:tc>
          <w:tcPr>
            <w:tcW w:w="2647" w:type="dxa"/>
            <w:gridSpan w:val="3"/>
            <w:noWrap w:val="0"/>
            <w:vAlign w:val="center"/>
          </w:tcPr>
          <w:p w14:paraId="55C92F8C">
            <w:pPr>
              <w:jc w:val="center"/>
              <w:rPr>
                <w:rFonts w:hint="eastAsia" w:ascii="宋体" w:hAnsi="宋体" w:eastAsia="宋体" w:cs="宋体"/>
                <w:sz w:val="20"/>
                <w:szCs w:val="20"/>
              </w:rPr>
            </w:pPr>
          </w:p>
        </w:tc>
        <w:tc>
          <w:tcPr>
            <w:tcW w:w="1458" w:type="dxa"/>
            <w:noWrap w:val="0"/>
            <w:vAlign w:val="center"/>
          </w:tcPr>
          <w:p w14:paraId="1E63E0F3">
            <w:pPr>
              <w:jc w:val="center"/>
              <w:rPr>
                <w:rFonts w:hint="eastAsia" w:ascii="宋体" w:hAnsi="宋体" w:eastAsia="宋体" w:cs="宋体"/>
                <w:sz w:val="20"/>
                <w:szCs w:val="20"/>
              </w:rPr>
            </w:pPr>
          </w:p>
        </w:tc>
        <w:tc>
          <w:tcPr>
            <w:tcW w:w="1318" w:type="dxa"/>
            <w:gridSpan w:val="2"/>
            <w:noWrap w:val="0"/>
            <w:vAlign w:val="center"/>
          </w:tcPr>
          <w:p w14:paraId="7D9952F1">
            <w:pPr>
              <w:jc w:val="center"/>
              <w:rPr>
                <w:rFonts w:hint="eastAsia" w:ascii="宋体" w:hAnsi="宋体" w:eastAsia="宋体" w:cs="宋体"/>
                <w:sz w:val="20"/>
                <w:szCs w:val="20"/>
              </w:rPr>
            </w:pPr>
          </w:p>
        </w:tc>
        <w:tc>
          <w:tcPr>
            <w:tcW w:w="884" w:type="dxa"/>
            <w:noWrap w:val="0"/>
            <w:vAlign w:val="center"/>
          </w:tcPr>
          <w:p w14:paraId="4FBC8E5B">
            <w:pPr>
              <w:jc w:val="center"/>
              <w:rPr>
                <w:rFonts w:hint="eastAsia" w:ascii="宋体" w:hAnsi="宋体" w:eastAsia="宋体" w:cs="宋体"/>
                <w:sz w:val="20"/>
                <w:szCs w:val="20"/>
              </w:rPr>
            </w:pPr>
          </w:p>
        </w:tc>
      </w:tr>
      <w:tr w14:paraId="29484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center"/>
          </w:tcPr>
          <w:p w14:paraId="64EC224D">
            <w:pPr>
              <w:jc w:val="center"/>
              <w:rPr>
                <w:rFonts w:ascii="Arial"/>
                <w:sz w:val="21"/>
              </w:rPr>
            </w:pPr>
          </w:p>
        </w:tc>
        <w:tc>
          <w:tcPr>
            <w:tcW w:w="689" w:type="dxa"/>
            <w:vMerge w:val="restart"/>
            <w:tcBorders>
              <w:bottom w:val="nil"/>
            </w:tcBorders>
            <w:noWrap w:val="0"/>
            <w:vAlign w:val="center"/>
          </w:tcPr>
          <w:p w14:paraId="00926C32">
            <w:pPr>
              <w:jc w:val="center"/>
              <w:rPr>
                <w:rFonts w:ascii="Calibri" w:hAnsi="Calibri" w:eastAsia="宋体" w:cs="Times New Roman"/>
                <w:b/>
                <w:bCs/>
              </w:rPr>
            </w:pPr>
            <w:r>
              <w:rPr>
                <w:rFonts w:ascii="Calibri" w:hAnsi="Calibri" w:eastAsia="宋体" w:cs="Times New Roman"/>
                <w:b/>
                <w:bCs/>
              </w:rPr>
              <w:t>满意</w:t>
            </w:r>
          </w:p>
          <w:p w14:paraId="68EFF747">
            <w:pPr>
              <w:jc w:val="center"/>
              <w:rPr>
                <w:rFonts w:ascii="Calibri" w:hAnsi="Calibri" w:eastAsia="宋体" w:cs="Times New Roman"/>
                <w:b/>
                <w:bCs/>
              </w:rPr>
            </w:pPr>
            <w:r>
              <w:rPr>
                <w:rFonts w:ascii="Calibri" w:hAnsi="Calibri" w:eastAsia="宋体" w:cs="Times New Roman"/>
                <w:b/>
                <w:bCs/>
              </w:rPr>
              <w:t>度指</w:t>
            </w:r>
          </w:p>
          <w:p w14:paraId="23A8F176">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center"/>
          </w:tcPr>
          <w:p w14:paraId="0F0809B9">
            <w:pPr>
              <w:spacing w:before="224" w:line="173" w:lineRule="exact"/>
              <w:ind w:left="331"/>
              <w:jc w:val="center"/>
              <w:rPr>
                <w:rFonts w:hint="eastAsia" w:ascii="宋体" w:hAnsi="宋体" w:eastAsia="宋体" w:cs="宋体"/>
                <w:sz w:val="20"/>
                <w:szCs w:val="20"/>
              </w:rPr>
            </w:pPr>
            <w:r>
              <w:rPr>
                <w:rFonts w:hint="eastAsia" w:ascii="宋体" w:hAnsi="宋体" w:eastAsia="宋体" w:cs="宋体"/>
                <w:spacing w:val="-3"/>
                <w:position w:val="1"/>
                <w:sz w:val="20"/>
                <w:szCs w:val="20"/>
              </w:rPr>
              <w:t>……</w:t>
            </w:r>
          </w:p>
        </w:tc>
        <w:tc>
          <w:tcPr>
            <w:tcW w:w="2647" w:type="dxa"/>
            <w:gridSpan w:val="3"/>
            <w:noWrap w:val="0"/>
            <w:vAlign w:val="center"/>
          </w:tcPr>
          <w:p w14:paraId="524EFB1F">
            <w:pPr>
              <w:jc w:val="center"/>
              <w:rPr>
                <w:rFonts w:hint="eastAsia" w:ascii="宋体" w:hAnsi="宋体" w:eastAsia="宋体" w:cs="宋体"/>
                <w:sz w:val="20"/>
                <w:szCs w:val="20"/>
              </w:rPr>
            </w:pPr>
          </w:p>
        </w:tc>
        <w:tc>
          <w:tcPr>
            <w:tcW w:w="1458" w:type="dxa"/>
            <w:noWrap w:val="0"/>
            <w:vAlign w:val="center"/>
          </w:tcPr>
          <w:p w14:paraId="3368E29C">
            <w:pPr>
              <w:jc w:val="center"/>
              <w:rPr>
                <w:rFonts w:hint="eastAsia" w:ascii="宋体" w:hAnsi="宋体" w:eastAsia="宋体" w:cs="宋体"/>
                <w:sz w:val="20"/>
                <w:szCs w:val="20"/>
              </w:rPr>
            </w:pPr>
          </w:p>
        </w:tc>
        <w:tc>
          <w:tcPr>
            <w:tcW w:w="1318" w:type="dxa"/>
            <w:gridSpan w:val="2"/>
            <w:noWrap w:val="0"/>
            <w:vAlign w:val="center"/>
          </w:tcPr>
          <w:p w14:paraId="4FFBDAB1">
            <w:pPr>
              <w:jc w:val="center"/>
              <w:rPr>
                <w:rFonts w:hint="eastAsia" w:ascii="宋体" w:hAnsi="宋体" w:eastAsia="宋体" w:cs="宋体"/>
                <w:sz w:val="20"/>
                <w:szCs w:val="20"/>
              </w:rPr>
            </w:pPr>
          </w:p>
        </w:tc>
        <w:tc>
          <w:tcPr>
            <w:tcW w:w="884" w:type="dxa"/>
            <w:noWrap w:val="0"/>
            <w:vAlign w:val="center"/>
          </w:tcPr>
          <w:p w14:paraId="64928F2B">
            <w:pPr>
              <w:jc w:val="center"/>
              <w:rPr>
                <w:rFonts w:hint="eastAsia" w:ascii="宋体" w:hAnsi="宋体" w:eastAsia="宋体" w:cs="宋体"/>
                <w:sz w:val="20"/>
                <w:szCs w:val="20"/>
              </w:rPr>
            </w:pPr>
          </w:p>
        </w:tc>
      </w:tr>
      <w:tr w14:paraId="6382C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center"/>
          </w:tcPr>
          <w:p w14:paraId="44E02AE2">
            <w:pPr>
              <w:jc w:val="center"/>
              <w:rPr>
                <w:rFonts w:ascii="Arial"/>
                <w:sz w:val="21"/>
              </w:rPr>
            </w:pPr>
          </w:p>
        </w:tc>
        <w:tc>
          <w:tcPr>
            <w:tcW w:w="689" w:type="dxa"/>
            <w:vMerge w:val="continue"/>
            <w:tcBorders>
              <w:top w:val="nil"/>
            </w:tcBorders>
            <w:noWrap w:val="0"/>
            <w:vAlign w:val="center"/>
          </w:tcPr>
          <w:p w14:paraId="7F41D1DF">
            <w:pPr>
              <w:jc w:val="center"/>
              <w:rPr>
                <w:rFonts w:ascii="Arial"/>
                <w:sz w:val="21"/>
              </w:rPr>
            </w:pPr>
          </w:p>
        </w:tc>
        <w:tc>
          <w:tcPr>
            <w:tcW w:w="1119" w:type="dxa"/>
            <w:noWrap w:val="0"/>
            <w:vAlign w:val="center"/>
          </w:tcPr>
          <w:p w14:paraId="69CE2038">
            <w:pPr>
              <w:jc w:val="center"/>
              <w:rPr>
                <w:rFonts w:hint="eastAsia" w:ascii="宋体" w:hAnsi="宋体" w:eastAsia="宋体" w:cs="宋体"/>
                <w:sz w:val="20"/>
                <w:szCs w:val="20"/>
              </w:rPr>
            </w:pPr>
          </w:p>
        </w:tc>
        <w:tc>
          <w:tcPr>
            <w:tcW w:w="2647" w:type="dxa"/>
            <w:gridSpan w:val="3"/>
            <w:noWrap w:val="0"/>
            <w:vAlign w:val="center"/>
          </w:tcPr>
          <w:p w14:paraId="3E5837C2">
            <w:pPr>
              <w:jc w:val="center"/>
              <w:rPr>
                <w:rFonts w:hint="eastAsia" w:ascii="宋体" w:hAnsi="宋体" w:eastAsia="宋体" w:cs="宋体"/>
                <w:sz w:val="20"/>
                <w:szCs w:val="20"/>
              </w:rPr>
            </w:pPr>
          </w:p>
        </w:tc>
        <w:tc>
          <w:tcPr>
            <w:tcW w:w="1458" w:type="dxa"/>
            <w:noWrap w:val="0"/>
            <w:vAlign w:val="center"/>
          </w:tcPr>
          <w:p w14:paraId="48436A2A">
            <w:pPr>
              <w:jc w:val="center"/>
              <w:rPr>
                <w:rFonts w:hint="eastAsia" w:ascii="宋体" w:hAnsi="宋体" w:eastAsia="宋体" w:cs="宋体"/>
                <w:sz w:val="20"/>
                <w:szCs w:val="20"/>
              </w:rPr>
            </w:pPr>
          </w:p>
        </w:tc>
        <w:tc>
          <w:tcPr>
            <w:tcW w:w="1318" w:type="dxa"/>
            <w:gridSpan w:val="2"/>
            <w:noWrap w:val="0"/>
            <w:vAlign w:val="center"/>
          </w:tcPr>
          <w:p w14:paraId="7BCB3C84">
            <w:pPr>
              <w:jc w:val="center"/>
              <w:rPr>
                <w:rFonts w:hint="eastAsia" w:ascii="宋体" w:hAnsi="宋体" w:eastAsia="宋体" w:cs="宋体"/>
                <w:sz w:val="20"/>
                <w:szCs w:val="20"/>
              </w:rPr>
            </w:pPr>
          </w:p>
        </w:tc>
        <w:tc>
          <w:tcPr>
            <w:tcW w:w="884" w:type="dxa"/>
            <w:noWrap w:val="0"/>
            <w:vAlign w:val="center"/>
          </w:tcPr>
          <w:p w14:paraId="595C6A59">
            <w:pPr>
              <w:jc w:val="center"/>
              <w:rPr>
                <w:rFonts w:hint="eastAsia" w:ascii="宋体" w:hAnsi="宋体" w:eastAsia="宋体" w:cs="宋体"/>
                <w:sz w:val="20"/>
                <w:szCs w:val="20"/>
              </w:rPr>
            </w:pPr>
          </w:p>
        </w:tc>
      </w:tr>
      <w:tr w14:paraId="39267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0FEC8859">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top"/>
          </w:tcPr>
          <w:p w14:paraId="67751EFD">
            <w:pPr>
              <w:rPr>
                <w:rFonts w:hint="default" w:ascii="Arial" w:eastAsia="宋体"/>
                <w:sz w:val="21"/>
                <w:lang w:val="en-US" w:eastAsia="zh-CN"/>
              </w:rPr>
            </w:pPr>
            <w:r>
              <w:rPr>
                <w:rFonts w:hint="eastAsia" w:ascii="Arial" w:eastAsia="宋体"/>
                <w:sz w:val="21"/>
                <w:lang w:val="en-US" w:eastAsia="zh-CN"/>
              </w:rPr>
              <w:t>97.41</w:t>
            </w:r>
          </w:p>
        </w:tc>
      </w:tr>
      <w:tr w14:paraId="277A2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14" w:type="dxa"/>
            <w:noWrap w:val="0"/>
            <w:vAlign w:val="top"/>
          </w:tcPr>
          <w:p w14:paraId="316E54B9">
            <w:pPr>
              <w:spacing w:line="242" w:lineRule="auto"/>
              <w:rPr>
                <w:rFonts w:ascii="Arial"/>
                <w:b/>
                <w:bCs/>
                <w:sz w:val="21"/>
              </w:rPr>
            </w:pPr>
          </w:p>
          <w:p w14:paraId="7EC05459">
            <w:pPr>
              <w:jc w:val="center"/>
              <w:rPr>
                <w:b/>
                <w:bCs/>
              </w:rPr>
            </w:pPr>
            <w:r>
              <w:rPr>
                <w:b/>
                <w:bCs/>
              </w:rPr>
              <w:t>偏差大或</w:t>
            </w:r>
          </w:p>
          <w:p w14:paraId="24F1B994">
            <w:pPr>
              <w:jc w:val="center"/>
              <w:rPr>
                <w:b/>
                <w:bCs/>
              </w:rPr>
            </w:pPr>
            <w:r>
              <w:rPr>
                <w:b/>
                <w:bCs/>
              </w:rPr>
              <w:t>目标未完成</w:t>
            </w:r>
          </w:p>
          <w:p w14:paraId="50BB3AB8">
            <w:pPr>
              <w:jc w:val="center"/>
              <w:rPr>
                <w:rFonts w:ascii="宋体" w:hAnsi="宋体" w:eastAsia="宋体" w:cs="宋体"/>
                <w:sz w:val="20"/>
                <w:szCs w:val="20"/>
              </w:rPr>
            </w:pPr>
            <w:r>
              <w:rPr>
                <w:b/>
                <w:bCs/>
              </w:rPr>
              <w:t>原因分析</w:t>
            </w:r>
          </w:p>
        </w:tc>
        <w:tc>
          <w:tcPr>
            <w:tcW w:w="8115" w:type="dxa"/>
            <w:gridSpan w:val="9"/>
            <w:noWrap w:val="0"/>
            <w:vAlign w:val="top"/>
          </w:tcPr>
          <w:p w14:paraId="5604ACD7">
            <w:pPr>
              <w:rPr>
                <w:rFonts w:hint="default" w:ascii="Arial" w:eastAsia="宋体"/>
                <w:sz w:val="21"/>
                <w:lang w:val="en-US" w:eastAsia="zh-CN"/>
              </w:rPr>
            </w:pPr>
            <w:r>
              <w:rPr>
                <w:rFonts w:hint="eastAsia" w:ascii="Arial" w:eastAsia="宋体"/>
                <w:sz w:val="21"/>
                <w:lang w:val="en-US" w:eastAsia="zh-CN"/>
              </w:rPr>
              <w:t>当年发生相关费用，但是相关发票未取得，故结余部分资金。</w:t>
            </w:r>
          </w:p>
        </w:tc>
      </w:tr>
      <w:tr w14:paraId="264BF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814" w:type="dxa"/>
            <w:noWrap w:val="0"/>
            <w:vAlign w:val="top"/>
          </w:tcPr>
          <w:p w14:paraId="67AD3751">
            <w:pPr>
              <w:spacing w:line="270" w:lineRule="auto"/>
              <w:rPr>
                <w:rFonts w:ascii="Arial"/>
                <w:sz w:val="21"/>
              </w:rPr>
            </w:pPr>
          </w:p>
          <w:p w14:paraId="66003E4A">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8115" w:type="dxa"/>
            <w:gridSpan w:val="9"/>
            <w:noWrap w:val="0"/>
            <w:vAlign w:val="top"/>
          </w:tcPr>
          <w:p w14:paraId="40F53716">
            <w:pPr>
              <w:rPr>
                <w:rFonts w:hint="default" w:ascii="Arial" w:eastAsia="宋体"/>
                <w:sz w:val="21"/>
                <w:lang w:val="en-US" w:eastAsia="zh-CN"/>
              </w:rPr>
            </w:pPr>
            <w:r>
              <w:rPr>
                <w:rFonts w:hint="eastAsia" w:ascii="Arial"/>
                <w:sz w:val="21"/>
                <w:lang w:val="en-US" w:eastAsia="zh-CN"/>
              </w:rPr>
              <w:t>进一步加强部门预算编制的科学性、准确性和严肃性，加强项目进度的监管控制，提高项目绩效水平。</w:t>
            </w:r>
          </w:p>
        </w:tc>
      </w:tr>
    </w:tbl>
    <w:p w14:paraId="093D43A1">
      <w:pPr>
        <w:spacing w:before="56" w:line="219" w:lineRule="auto"/>
        <w:rPr>
          <w:rFonts w:ascii="仿宋" w:hAnsi="仿宋" w:eastAsia="仿宋" w:cs="仿宋"/>
          <w:spacing w:val="-1"/>
          <w:sz w:val="21"/>
          <w:szCs w:val="21"/>
        </w:rPr>
      </w:pPr>
    </w:p>
    <w:p w14:paraId="26716DBC">
      <w:pPr>
        <w:spacing w:before="46" w:line="224" w:lineRule="auto"/>
        <w:ind w:left="164"/>
        <w:rPr>
          <w:rFonts w:ascii="仿宋" w:hAnsi="仿宋" w:eastAsia="仿宋" w:cs="仿宋"/>
          <w:sz w:val="24"/>
          <w:szCs w:val="24"/>
        </w:rPr>
      </w:pPr>
      <w:r>
        <w:rPr>
          <w:rFonts w:ascii="仿宋" w:hAnsi="仿宋" w:eastAsia="仿宋" w:cs="仿宋"/>
          <w:spacing w:val="-27"/>
          <w:sz w:val="24"/>
          <w:szCs w:val="24"/>
        </w:rPr>
        <w:t>备注：</w:t>
      </w:r>
    </w:p>
    <w:p w14:paraId="16A66EA1">
      <w:pPr>
        <w:spacing w:before="40" w:line="257" w:lineRule="auto"/>
        <w:ind w:left="164" w:right="163" w:firstLine="410"/>
        <w:rPr>
          <w:rFonts w:ascii="仿宋" w:hAnsi="仿宋" w:eastAsia="仿宋" w:cs="仿宋"/>
          <w:sz w:val="21"/>
          <w:szCs w:val="21"/>
        </w:rPr>
      </w:pPr>
      <w:r>
        <w:rPr>
          <w:rFonts w:ascii="仿宋" w:hAnsi="仿宋" w:eastAsia="仿宋" w:cs="仿宋"/>
          <w:spacing w:val="8"/>
          <w:sz w:val="21"/>
          <w:szCs w:val="21"/>
        </w:rPr>
        <w:t>1.预算执行情况口径：预算数为调整后财政资金总额(包括上年结余结转),执行数为资</w:t>
      </w:r>
      <w:r>
        <w:rPr>
          <w:rFonts w:ascii="仿宋" w:hAnsi="仿宋" w:eastAsia="仿宋" w:cs="仿宋"/>
          <w:spacing w:val="5"/>
          <w:sz w:val="21"/>
          <w:szCs w:val="21"/>
        </w:rPr>
        <w:t xml:space="preserve"> </w:t>
      </w:r>
      <w:r>
        <w:rPr>
          <w:rFonts w:ascii="仿宋" w:hAnsi="仿宋" w:eastAsia="仿宋" w:cs="仿宋"/>
          <w:sz w:val="21"/>
          <w:szCs w:val="21"/>
        </w:rPr>
        <w:t>金使用单位财政资金实际支出数。涉及政府采购的项目支出要</w:t>
      </w:r>
      <w:r>
        <w:rPr>
          <w:rFonts w:ascii="仿宋" w:hAnsi="仿宋" w:eastAsia="仿宋" w:cs="仿宋"/>
          <w:spacing w:val="-1"/>
          <w:sz w:val="21"/>
          <w:szCs w:val="21"/>
        </w:rPr>
        <w:t>设置相关绩效指标反映政府采购</w:t>
      </w:r>
      <w:r>
        <w:rPr>
          <w:rFonts w:ascii="仿宋" w:hAnsi="仿宋" w:eastAsia="仿宋" w:cs="仿宋"/>
          <w:sz w:val="21"/>
          <w:szCs w:val="21"/>
        </w:rPr>
        <w:t xml:space="preserve"> </w:t>
      </w:r>
      <w:r>
        <w:rPr>
          <w:rFonts w:ascii="仿宋" w:hAnsi="仿宋" w:eastAsia="仿宋" w:cs="仿宋"/>
          <w:spacing w:val="-9"/>
          <w:sz w:val="21"/>
          <w:szCs w:val="21"/>
        </w:rPr>
        <w:t>管理情况。</w:t>
      </w:r>
    </w:p>
    <w:p w14:paraId="4D6BE9D5">
      <w:pPr>
        <w:spacing w:before="54" w:line="256" w:lineRule="auto"/>
        <w:ind w:left="164" w:right="199" w:firstLine="410"/>
        <w:rPr>
          <w:rFonts w:ascii="仿宋" w:hAnsi="仿宋" w:eastAsia="仿宋" w:cs="仿宋"/>
          <w:sz w:val="21"/>
          <w:szCs w:val="21"/>
        </w:rPr>
      </w:pPr>
      <w:r>
        <w:rPr>
          <w:rFonts w:ascii="仿宋" w:hAnsi="仿宋" w:eastAsia="仿宋" w:cs="仿宋"/>
          <w:spacing w:val="-1"/>
          <w:sz w:val="21"/>
          <w:szCs w:val="21"/>
        </w:rPr>
        <w:t>2.定量指标完成数汇总原则：绝对值直接累加计算，相对值按照资金额度加权平均计算。</w:t>
      </w:r>
      <w:r>
        <w:rPr>
          <w:rFonts w:ascii="仿宋" w:hAnsi="仿宋" w:eastAsia="仿宋" w:cs="仿宋"/>
          <w:spacing w:val="3"/>
          <w:sz w:val="21"/>
          <w:szCs w:val="21"/>
        </w:rPr>
        <w:t xml:space="preserve"> 定量指标计分原则：正向指标(即目标值为≥X,得分=权重*B/</w:t>
      </w:r>
      <w:r>
        <w:rPr>
          <w:rFonts w:ascii="仿宋" w:hAnsi="仿宋" w:eastAsia="仿宋" w:cs="仿宋"/>
          <w:spacing w:val="2"/>
          <w:sz w:val="21"/>
          <w:szCs w:val="21"/>
        </w:rPr>
        <w:t>A),</w:t>
      </w:r>
      <w:r>
        <w:rPr>
          <w:rFonts w:ascii="仿宋" w:hAnsi="仿宋" w:eastAsia="仿宋" w:cs="仿宋"/>
          <w:spacing w:val="52"/>
          <w:sz w:val="21"/>
          <w:szCs w:val="21"/>
        </w:rPr>
        <w:t xml:space="preserve"> </w:t>
      </w:r>
      <w:r>
        <w:rPr>
          <w:rFonts w:ascii="仿宋" w:hAnsi="仿宋" w:eastAsia="仿宋" w:cs="仿宋"/>
          <w:spacing w:val="2"/>
          <w:sz w:val="21"/>
          <w:szCs w:val="21"/>
        </w:rPr>
        <w:t>反向指标(即目标值为≤X,</w:t>
      </w:r>
      <w:r>
        <w:rPr>
          <w:rFonts w:ascii="仿宋" w:hAnsi="仿宋" w:eastAsia="仿宋" w:cs="仿宋"/>
          <w:sz w:val="21"/>
          <w:szCs w:val="21"/>
        </w:rPr>
        <w:t xml:space="preserve"> </w:t>
      </w:r>
      <w:r>
        <w:rPr>
          <w:rFonts w:ascii="仿宋" w:hAnsi="仿宋" w:eastAsia="仿宋" w:cs="仿宋"/>
          <w:spacing w:val="-1"/>
          <w:sz w:val="21"/>
          <w:szCs w:val="21"/>
        </w:rPr>
        <w:t>得分=权重*A/B),</w:t>
      </w:r>
      <w:r>
        <w:rPr>
          <w:rFonts w:ascii="仿宋" w:hAnsi="仿宋" w:eastAsia="仿宋" w:cs="仿宋"/>
          <w:spacing w:val="100"/>
          <w:sz w:val="21"/>
          <w:szCs w:val="21"/>
        </w:rPr>
        <w:t xml:space="preserve"> </w:t>
      </w:r>
      <w:r>
        <w:rPr>
          <w:rFonts w:ascii="仿宋" w:hAnsi="仿宋" w:eastAsia="仿宋" w:cs="仿宋"/>
          <w:spacing w:val="-1"/>
          <w:sz w:val="21"/>
          <w:szCs w:val="21"/>
        </w:rPr>
        <w:t>得分不得突破权重总额。定量指标</w:t>
      </w:r>
      <w:r>
        <w:rPr>
          <w:rFonts w:ascii="仿宋" w:hAnsi="仿宋" w:eastAsia="仿宋" w:cs="仿宋"/>
          <w:spacing w:val="-2"/>
          <w:sz w:val="21"/>
          <w:szCs w:val="21"/>
        </w:rPr>
        <w:t>先汇总完成数，再计算得分。</w:t>
      </w:r>
    </w:p>
    <w:p w14:paraId="169880C7">
      <w:pPr>
        <w:spacing w:before="54" w:line="256" w:lineRule="auto"/>
        <w:ind w:left="164" w:right="179" w:firstLine="410"/>
        <w:rPr>
          <w:rFonts w:ascii="仿宋" w:hAnsi="仿宋" w:eastAsia="仿宋" w:cs="仿宋"/>
          <w:sz w:val="21"/>
          <w:szCs w:val="21"/>
        </w:rPr>
      </w:pPr>
      <w:r>
        <w:rPr>
          <w:rFonts w:ascii="仿宋" w:hAnsi="仿宋" w:eastAsia="仿宋" w:cs="仿宋"/>
          <w:sz w:val="21"/>
          <w:szCs w:val="21"/>
        </w:rPr>
        <w:t>3.定性指标计分原则：达成预期指标、部分达成预期指标并具有一定</w:t>
      </w:r>
      <w:r>
        <w:rPr>
          <w:rFonts w:ascii="仿宋" w:hAnsi="仿宋" w:eastAsia="仿宋" w:cs="仿宋"/>
          <w:spacing w:val="-1"/>
          <w:sz w:val="21"/>
          <w:szCs w:val="21"/>
        </w:rPr>
        <w:t>效果、未达成预期指</w:t>
      </w:r>
      <w:r>
        <w:rPr>
          <w:rFonts w:ascii="仿宋" w:hAnsi="仿宋" w:eastAsia="仿宋" w:cs="仿宋"/>
          <w:sz w:val="21"/>
          <w:szCs w:val="21"/>
        </w:rPr>
        <w:t xml:space="preserve"> </w:t>
      </w:r>
      <w:r>
        <w:rPr>
          <w:rFonts w:ascii="仿宋" w:hAnsi="仿宋" w:eastAsia="仿宋" w:cs="仿宋"/>
          <w:spacing w:val="4"/>
          <w:sz w:val="21"/>
          <w:szCs w:val="21"/>
        </w:rPr>
        <w:t>标且效果较差三档，分别按照该指标对应分值区间100-80%(含80</w:t>
      </w:r>
      <w:r>
        <w:rPr>
          <w:rFonts w:ascii="仿宋" w:hAnsi="仿宋" w:eastAsia="仿宋" w:cs="仿宋"/>
          <w:spacing w:val="3"/>
          <w:sz w:val="21"/>
          <w:szCs w:val="21"/>
        </w:rPr>
        <w:t>%)、80-50%(含50%)、50-0%</w:t>
      </w:r>
      <w:r>
        <w:rPr>
          <w:rFonts w:ascii="仿宋" w:hAnsi="仿宋" w:eastAsia="仿宋" w:cs="仿宋"/>
          <w:sz w:val="21"/>
          <w:szCs w:val="21"/>
        </w:rPr>
        <w:t xml:space="preserve"> </w:t>
      </w:r>
      <w:r>
        <w:rPr>
          <w:rFonts w:ascii="仿宋" w:hAnsi="仿宋" w:eastAsia="仿宋" w:cs="仿宋"/>
          <w:spacing w:val="-2"/>
          <w:sz w:val="21"/>
          <w:szCs w:val="21"/>
        </w:rPr>
        <w:t>合理确定分值。汇总时，以资金额度为权重，对分值进行加权平均计算。</w:t>
      </w:r>
    </w:p>
    <w:p w14:paraId="221B0DE1">
      <w:pPr>
        <w:spacing w:before="58" w:line="220" w:lineRule="auto"/>
        <w:ind w:left="575"/>
        <w:rPr>
          <w:rFonts w:ascii="仿宋" w:hAnsi="仿宋" w:eastAsia="仿宋" w:cs="仿宋"/>
          <w:sz w:val="21"/>
          <w:szCs w:val="21"/>
        </w:rPr>
      </w:pPr>
      <w:r>
        <w:rPr>
          <w:rFonts w:ascii="仿宋" w:hAnsi="仿宋" w:eastAsia="仿宋" w:cs="仿宋"/>
          <w:spacing w:val="-1"/>
          <w:sz w:val="21"/>
          <w:szCs w:val="21"/>
        </w:rPr>
        <w:t>4.基于经济性和必要性等因素考虑，满意度指标暂</w:t>
      </w:r>
      <w:r>
        <w:rPr>
          <w:rFonts w:ascii="仿宋" w:hAnsi="仿宋" w:eastAsia="仿宋" w:cs="仿宋"/>
          <w:spacing w:val="-2"/>
          <w:sz w:val="21"/>
          <w:szCs w:val="21"/>
        </w:rPr>
        <w:t>可不作为必评指标。</w:t>
      </w:r>
    </w:p>
    <w:p w14:paraId="30A43FED">
      <w:pPr>
        <w:spacing w:before="61" w:line="222" w:lineRule="auto"/>
        <w:ind w:left="575"/>
        <w:rPr>
          <w:rFonts w:ascii="仿宋" w:hAnsi="仿宋" w:eastAsia="仿宋" w:cs="仿宋"/>
          <w:sz w:val="21"/>
          <w:szCs w:val="21"/>
        </w:rPr>
      </w:pPr>
      <w:r>
        <w:rPr>
          <w:rFonts w:ascii="仿宋" w:hAnsi="仿宋" w:eastAsia="仿宋" w:cs="仿宋"/>
          <w:spacing w:val="-1"/>
          <w:sz w:val="21"/>
          <w:szCs w:val="21"/>
        </w:rPr>
        <w:t>5.涉及政府采购的项目支出应设置相关政府采购指标。</w:t>
      </w:r>
    </w:p>
    <w:p w14:paraId="7D8F929B">
      <w:pPr>
        <w:spacing w:before="56" w:line="219" w:lineRule="auto"/>
        <w:ind w:left="575"/>
        <w:rPr>
          <w:rFonts w:ascii="仿宋" w:hAnsi="仿宋" w:eastAsia="仿宋" w:cs="仿宋"/>
          <w:spacing w:val="-1"/>
          <w:sz w:val="21"/>
          <w:szCs w:val="21"/>
        </w:rPr>
      </w:pPr>
      <w:r>
        <w:rPr>
          <w:rFonts w:ascii="仿宋" w:hAnsi="仿宋" w:eastAsia="仿宋" w:cs="仿宋"/>
          <w:spacing w:val="-1"/>
          <w:sz w:val="21"/>
          <w:szCs w:val="21"/>
        </w:rPr>
        <w:t>6.本部门单位自评项目较多的亦可自行设计封面，请主要领导在封面上签字并加盖公章。</w:t>
      </w:r>
    </w:p>
    <w:p w14:paraId="05691340">
      <w:pPr>
        <w:spacing w:before="56" w:line="219" w:lineRule="auto"/>
        <w:ind w:left="575"/>
        <w:rPr>
          <w:rFonts w:ascii="仿宋" w:hAnsi="仿宋" w:eastAsia="仿宋" w:cs="仿宋"/>
          <w:spacing w:val="-1"/>
          <w:sz w:val="21"/>
          <w:szCs w:val="21"/>
        </w:rPr>
      </w:pPr>
    </w:p>
    <w:p w14:paraId="70DEDED6">
      <w:pPr>
        <w:spacing w:before="105" w:line="219" w:lineRule="auto"/>
        <w:jc w:val="center"/>
        <w:rPr>
          <w:rFonts w:ascii="宋体" w:hAnsi="宋体" w:eastAsia="宋体" w:cs="宋体"/>
          <w:sz w:val="32"/>
          <w:szCs w:val="32"/>
        </w:rPr>
      </w:pPr>
      <w:r>
        <w:rPr>
          <w:rFonts w:hint="eastAsia" w:ascii="宋体" w:hAnsi="宋体" w:eastAsia="宋体" w:cs="宋体"/>
          <w:b/>
          <w:bCs/>
          <w:sz w:val="32"/>
          <w:szCs w:val="32"/>
          <w:lang w:val="en-US" w:eastAsia="zh-CN"/>
        </w:rPr>
        <w:t>2021</w:t>
      </w:r>
      <w:r>
        <w:rPr>
          <w:rFonts w:ascii="宋体" w:hAnsi="宋体" w:eastAsia="宋体" w:cs="宋体"/>
          <w:b/>
          <w:bCs/>
          <w:spacing w:val="17"/>
          <w:sz w:val="32"/>
          <w:szCs w:val="32"/>
        </w:rPr>
        <w:t>年度</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预算绩效管理专项经费</w:t>
      </w:r>
      <w:r>
        <w:rPr>
          <w:rFonts w:ascii="宋体" w:hAnsi="宋体" w:eastAsia="宋体" w:cs="宋体"/>
          <w:b/>
          <w:bCs/>
          <w:spacing w:val="17"/>
          <w:sz w:val="32"/>
          <w:szCs w:val="32"/>
        </w:rPr>
        <w:t>项目自评表</w:t>
      </w:r>
    </w:p>
    <w:p w14:paraId="0332C972">
      <w:pPr>
        <w:spacing w:before="56" w:line="219" w:lineRule="auto"/>
        <w:ind w:left="575"/>
        <w:rPr>
          <w:rFonts w:ascii="楷体" w:hAnsi="楷体" w:eastAsia="楷体" w:cs="楷体"/>
          <w:spacing w:val="3"/>
          <w:position w:val="1"/>
          <w:sz w:val="30"/>
          <w:szCs w:val="30"/>
        </w:rPr>
      </w:pPr>
      <w:r>
        <w:rPr>
          <w:rFonts w:ascii="楷体" w:hAnsi="楷体" w:eastAsia="楷体" w:cs="楷体"/>
          <w:b/>
          <w:bCs/>
          <w:spacing w:val="13"/>
          <w:position w:val="1"/>
          <w:sz w:val="30"/>
          <w:szCs w:val="30"/>
        </w:rPr>
        <w:t>项目单位(盖章):</w:t>
      </w:r>
      <w:r>
        <w:rPr>
          <w:rFonts w:ascii="楷体" w:hAnsi="楷体" w:eastAsia="楷体" w:cs="楷体"/>
          <w:spacing w:val="3"/>
          <w:position w:val="1"/>
          <w:sz w:val="30"/>
          <w:szCs w:val="30"/>
        </w:rPr>
        <w:t xml:space="preserve"> </w:t>
      </w:r>
      <w:r>
        <w:rPr>
          <w:rFonts w:hint="eastAsia" w:ascii="楷体" w:hAnsi="楷体" w:eastAsia="楷体" w:cs="楷体"/>
          <w:spacing w:val="3"/>
          <w:position w:val="1"/>
          <w:sz w:val="30"/>
          <w:szCs w:val="30"/>
          <w:lang w:val="en-US" w:eastAsia="zh-CN"/>
        </w:rPr>
        <w:t>下陆区财政局</w:t>
      </w:r>
      <w:r>
        <w:rPr>
          <w:rFonts w:ascii="楷体" w:hAnsi="楷体" w:eastAsia="楷体" w:cs="楷体"/>
          <w:spacing w:val="3"/>
          <w:position w:val="1"/>
          <w:sz w:val="30"/>
          <w:szCs w:val="30"/>
        </w:rPr>
        <w:t xml:space="preserve">     </w:t>
      </w:r>
    </w:p>
    <w:tbl>
      <w:tblPr>
        <w:tblStyle w:val="8"/>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23D06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3622A808">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4A3DDA05">
            <w:pPr>
              <w:rPr>
                <w:rFonts w:hint="default" w:ascii="Arial" w:eastAsia="宋体"/>
                <w:sz w:val="21"/>
                <w:lang w:val="en-US" w:eastAsia="zh-CN"/>
              </w:rPr>
            </w:pPr>
            <w:r>
              <w:rPr>
                <w:rFonts w:hint="default" w:ascii="Arial" w:eastAsia="宋体"/>
                <w:sz w:val="21"/>
                <w:lang w:val="en-US" w:eastAsia="zh-CN"/>
              </w:rPr>
              <w:t>预算绩效管理专项经费</w:t>
            </w:r>
          </w:p>
        </w:tc>
      </w:tr>
      <w:tr w14:paraId="176BD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BCACA7A">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26A8D135">
            <w:pPr>
              <w:rPr>
                <w:rFonts w:ascii="Arial"/>
                <w:sz w:val="21"/>
              </w:rPr>
            </w:pPr>
          </w:p>
        </w:tc>
        <w:tc>
          <w:tcPr>
            <w:tcW w:w="2516" w:type="dxa"/>
            <w:gridSpan w:val="3"/>
            <w:noWrap w:val="0"/>
            <w:vAlign w:val="top"/>
          </w:tcPr>
          <w:p w14:paraId="7B97B788">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2F9C452E">
            <w:pPr>
              <w:rPr>
                <w:rFonts w:hint="default" w:ascii="Arial" w:eastAsia="宋体"/>
                <w:sz w:val="21"/>
                <w:lang w:val="en-US" w:eastAsia="zh-CN"/>
              </w:rPr>
            </w:pPr>
            <w:r>
              <w:rPr>
                <w:rFonts w:hint="eastAsia" w:ascii="Arial"/>
                <w:sz w:val="21"/>
                <w:lang w:val="en-US" w:eastAsia="zh-CN"/>
              </w:rPr>
              <w:t>下陆区财政局</w:t>
            </w:r>
          </w:p>
        </w:tc>
      </w:tr>
      <w:tr w14:paraId="50AA6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D66906F">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448E4D07">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5BDB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74E9A391">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66B6F527">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47560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E8F438F">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1C9E012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7DC91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62540235">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4D89E37">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192D5E6">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14B61AD4">
            <w:pPr>
              <w:rPr>
                <w:rFonts w:ascii="Arial"/>
                <w:sz w:val="21"/>
              </w:rPr>
            </w:pPr>
          </w:p>
        </w:tc>
        <w:tc>
          <w:tcPr>
            <w:tcW w:w="1329" w:type="dxa"/>
            <w:noWrap w:val="0"/>
            <w:vAlign w:val="top"/>
          </w:tcPr>
          <w:p w14:paraId="4B13EC83">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0B5AD6F0">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4FE5F780">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83F92B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00EC1AE">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88C4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6F7B3BF3">
            <w:pPr>
              <w:rPr>
                <w:rFonts w:ascii="Arial"/>
                <w:sz w:val="21"/>
              </w:rPr>
            </w:pPr>
          </w:p>
        </w:tc>
        <w:tc>
          <w:tcPr>
            <w:tcW w:w="1119" w:type="dxa"/>
            <w:noWrap w:val="0"/>
            <w:vAlign w:val="top"/>
          </w:tcPr>
          <w:p w14:paraId="59B99598">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1AAD7576">
            <w:pPr>
              <w:jc w:val="center"/>
              <w:rPr>
                <w:rFonts w:hint="default" w:ascii="Arial" w:eastAsia="宋体"/>
                <w:sz w:val="21"/>
                <w:lang w:val="en-US" w:eastAsia="zh-CN"/>
              </w:rPr>
            </w:pPr>
            <w:r>
              <w:rPr>
                <w:rFonts w:hint="eastAsia" w:ascii="Arial"/>
                <w:sz w:val="21"/>
                <w:lang w:val="en-US" w:eastAsia="zh-CN"/>
              </w:rPr>
              <w:t>7</w:t>
            </w:r>
          </w:p>
        </w:tc>
        <w:tc>
          <w:tcPr>
            <w:tcW w:w="1318" w:type="dxa"/>
            <w:gridSpan w:val="2"/>
            <w:noWrap w:val="0"/>
            <w:vAlign w:val="top"/>
          </w:tcPr>
          <w:p w14:paraId="45F61C64">
            <w:pPr>
              <w:jc w:val="center"/>
              <w:rPr>
                <w:rFonts w:hint="default" w:ascii="Arial" w:eastAsia="宋体"/>
                <w:sz w:val="21"/>
                <w:lang w:val="en-US" w:eastAsia="zh-CN"/>
              </w:rPr>
            </w:pPr>
            <w:r>
              <w:rPr>
                <w:rFonts w:hint="eastAsia" w:ascii="Arial"/>
                <w:sz w:val="21"/>
                <w:lang w:val="en-US" w:eastAsia="zh-CN"/>
              </w:rPr>
              <w:t>1.84</w:t>
            </w:r>
          </w:p>
        </w:tc>
        <w:tc>
          <w:tcPr>
            <w:tcW w:w="1458" w:type="dxa"/>
            <w:noWrap w:val="0"/>
            <w:vAlign w:val="top"/>
          </w:tcPr>
          <w:p w14:paraId="0DF98CA8">
            <w:pPr>
              <w:jc w:val="center"/>
              <w:rPr>
                <w:rFonts w:hint="default" w:ascii="Arial" w:eastAsia="宋体"/>
                <w:sz w:val="21"/>
                <w:lang w:val="en-US" w:eastAsia="zh-CN"/>
              </w:rPr>
            </w:pPr>
            <w:r>
              <w:rPr>
                <w:rFonts w:hint="eastAsia" w:ascii="Arial"/>
                <w:sz w:val="21"/>
                <w:lang w:val="en-US" w:eastAsia="zh-CN"/>
              </w:rPr>
              <w:t>26.29%</w:t>
            </w:r>
          </w:p>
        </w:tc>
        <w:tc>
          <w:tcPr>
            <w:tcW w:w="2202" w:type="dxa"/>
            <w:gridSpan w:val="3"/>
            <w:noWrap w:val="0"/>
            <w:vAlign w:val="top"/>
          </w:tcPr>
          <w:p w14:paraId="6D2AF347">
            <w:pPr>
              <w:jc w:val="center"/>
              <w:rPr>
                <w:rFonts w:hint="default" w:ascii="Arial" w:eastAsia="宋体"/>
                <w:sz w:val="21"/>
                <w:lang w:val="en-US" w:eastAsia="zh-CN"/>
              </w:rPr>
            </w:pPr>
            <w:r>
              <w:rPr>
                <w:rFonts w:hint="eastAsia" w:ascii="Arial"/>
                <w:sz w:val="21"/>
                <w:lang w:val="en-US" w:eastAsia="zh-CN"/>
              </w:rPr>
              <w:t>5.26</w:t>
            </w:r>
          </w:p>
        </w:tc>
      </w:tr>
      <w:tr w14:paraId="1A1A6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FB355FA">
            <w:pPr>
              <w:spacing w:line="269" w:lineRule="auto"/>
              <w:rPr>
                <w:rFonts w:ascii="Arial"/>
                <w:sz w:val="21"/>
              </w:rPr>
            </w:pPr>
          </w:p>
          <w:p w14:paraId="0FBF8A9B">
            <w:pPr>
              <w:spacing w:line="269" w:lineRule="auto"/>
              <w:rPr>
                <w:rFonts w:ascii="Arial"/>
                <w:sz w:val="21"/>
              </w:rPr>
            </w:pPr>
          </w:p>
          <w:p w14:paraId="225612FD">
            <w:pPr>
              <w:spacing w:line="269" w:lineRule="auto"/>
              <w:rPr>
                <w:rFonts w:ascii="Arial"/>
                <w:sz w:val="21"/>
              </w:rPr>
            </w:pPr>
          </w:p>
          <w:p w14:paraId="007BF791">
            <w:pPr>
              <w:spacing w:line="270" w:lineRule="auto"/>
              <w:rPr>
                <w:rFonts w:ascii="Arial"/>
                <w:sz w:val="21"/>
              </w:rPr>
            </w:pPr>
          </w:p>
          <w:p w14:paraId="18C07CB3">
            <w:pPr>
              <w:spacing w:line="270" w:lineRule="auto"/>
              <w:rPr>
                <w:rFonts w:ascii="Arial"/>
                <w:sz w:val="21"/>
              </w:rPr>
            </w:pPr>
          </w:p>
          <w:p w14:paraId="4E819562">
            <w:pPr>
              <w:spacing w:line="270" w:lineRule="auto"/>
              <w:rPr>
                <w:rFonts w:ascii="Arial"/>
                <w:sz w:val="21"/>
              </w:rPr>
            </w:pPr>
          </w:p>
          <w:p w14:paraId="1F2EE84B">
            <w:pPr>
              <w:spacing w:line="270" w:lineRule="auto"/>
              <w:rPr>
                <w:rFonts w:ascii="Arial"/>
                <w:sz w:val="21"/>
              </w:rPr>
            </w:pPr>
          </w:p>
          <w:p w14:paraId="321955AF">
            <w:pPr>
              <w:jc w:val="center"/>
              <w:rPr>
                <w:b/>
                <w:bCs/>
              </w:rPr>
            </w:pPr>
          </w:p>
          <w:p w14:paraId="68197BA4">
            <w:pPr>
              <w:jc w:val="center"/>
              <w:rPr>
                <w:b/>
                <w:bCs/>
              </w:rPr>
            </w:pPr>
            <w:r>
              <w:rPr>
                <w:b/>
                <w:bCs/>
              </w:rPr>
              <w:t>年</w:t>
            </w:r>
          </w:p>
          <w:p w14:paraId="6E890650">
            <w:pPr>
              <w:jc w:val="center"/>
              <w:rPr>
                <w:b/>
                <w:bCs/>
              </w:rPr>
            </w:pPr>
            <w:r>
              <w:rPr>
                <w:b/>
                <w:bCs/>
              </w:rPr>
              <w:t>度</w:t>
            </w:r>
          </w:p>
          <w:p w14:paraId="74A0BD20">
            <w:pPr>
              <w:jc w:val="center"/>
              <w:rPr>
                <w:b/>
                <w:bCs/>
              </w:rPr>
            </w:pPr>
            <w:r>
              <w:rPr>
                <w:b/>
                <w:bCs/>
              </w:rPr>
              <w:t>绩</w:t>
            </w:r>
          </w:p>
          <w:p w14:paraId="6A50131E">
            <w:pPr>
              <w:jc w:val="center"/>
              <w:rPr>
                <w:b/>
                <w:bCs/>
              </w:rPr>
            </w:pPr>
            <w:r>
              <w:rPr>
                <w:b/>
                <w:bCs/>
              </w:rPr>
              <w:t>效</w:t>
            </w:r>
          </w:p>
          <w:p w14:paraId="746D35D0">
            <w:pPr>
              <w:jc w:val="center"/>
              <w:rPr>
                <w:b/>
                <w:bCs/>
              </w:rPr>
            </w:pPr>
            <w:r>
              <w:rPr>
                <w:b/>
                <w:bCs/>
              </w:rPr>
              <w:t>目</w:t>
            </w:r>
          </w:p>
          <w:p w14:paraId="7C353DF0">
            <w:pPr>
              <w:jc w:val="center"/>
              <w:rPr>
                <w:b/>
                <w:bCs/>
              </w:rPr>
            </w:pPr>
            <w:r>
              <w:rPr>
                <w:b/>
                <w:bCs/>
              </w:rPr>
              <w:t>标</w:t>
            </w:r>
          </w:p>
          <w:p w14:paraId="78312BDD">
            <w:pPr>
              <w:jc w:val="center"/>
              <w:rPr>
                <w:b/>
                <w:bCs/>
              </w:rPr>
            </w:pPr>
            <w:r>
              <w:rPr>
                <w:b/>
                <w:bCs/>
              </w:rPr>
              <w:t>1</w:t>
            </w:r>
          </w:p>
          <w:p w14:paraId="1576935E">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4D784E74">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71100A06">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6DB867A0">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6147A28">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2E0D46B4">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3D15829">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612C82AE">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3E03BE6">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4C5F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12A1B246">
            <w:pPr>
              <w:rPr>
                <w:rFonts w:ascii="Arial"/>
                <w:sz w:val="21"/>
              </w:rPr>
            </w:pPr>
          </w:p>
        </w:tc>
        <w:tc>
          <w:tcPr>
            <w:tcW w:w="689" w:type="dxa"/>
            <w:vMerge w:val="restart"/>
            <w:tcBorders>
              <w:bottom w:val="nil"/>
            </w:tcBorders>
            <w:noWrap w:val="0"/>
            <w:vAlign w:val="top"/>
          </w:tcPr>
          <w:p w14:paraId="58A8FB67">
            <w:pPr>
              <w:rPr>
                <w:b/>
                <w:bCs/>
              </w:rPr>
            </w:pPr>
          </w:p>
          <w:p w14:paraId="7ED29043">
            <w:pPr>
              <w:rPr>
                <w:b/>
                <w:bCs/>
              </w:rPr>
            </w:pPr>
          </w:p>
          <w:p w14:paraId="59B8EC99">
            <w:pPr>
              <w:rPr>
                <w:b/>
                <w:bCs/>
              </w:rPr>
            </w:pPr>
          </w:p>
          <w:p w14:paraId="77992F61">
            <w:pPr>
              <w:jc w:val="center"/>
              <w:rPr>
                <w:b/>
                <w:bCs/>
              </w:rPr>
            </w:pPr>
            <w:r>
              <w:rPr>
                <w:b/>
                <w:bCs/>
              </w:rPr>
              <w:t>产出</w:t>
            </w:r>
          </w:p>
          <w:p w14:paraId="286BE6EC">
            <w:pPr>
              <w:jc w:val="center"/>
              <w:rPr>
                <w:rFonts w:hint="eastAsia" w:eastAsia="宋体"/>
                <w:b/>
                <w:bCs/>
                <w:lang w:val="en-US" w:eastAsia="zh-CN"/>
              </w:rPr>
            </w:pPr>
            <w:r>
              <w:rPr>
                <w:rFonts w:hint="eastAsia"/>
                <w:b/>
                <w:bCs/>
                <w:lang w:val="en-US" w:eastAsia="zh-CN"/>
              </w:rPr>
              <w:t>指标</w:t>
            </w:r>
          </w:p>
        </w:tc>
        <w:tc>
          <w:tcPr>
            <w:tcW w:w="1119" w:type="dxa"/>
            <w:noWrap w:val="0"/>
            <w:vAlign w:val="top"/>
          </w:tcPr>
          <w:p w14:paraId="0289B9B7">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lang w:val="en-US" w:eastAsia="zh-CN"/>
              </w:rPr>
              <w:t>质量指标</w:t>
            </w:r>
          </w:p>
        </w:tc>
        <w:tc>
          <w:tcPr>
            <w:tcW w:w="2647" w:type="dxa"/>
            <w:gridSpan w:val="3"/>
            <w:noWrap w:val="0"/>
            <w:vAlign w:val="top"/>
          </w:tcPr>
          <w:p w14:paraId="581750AF">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保质保量完成预算绩效工作</w:t>
            </w:r>
          </w:p>
        </w:tc>
        <w:tc>
          <w:tcPr>
            <w:tcW w:w="1458" w:type="dxa"/>
            <w:noWrap w:val="0"/>
            <w:vAlign w:val="top"/>
          </w:tcPr>
          <w:p w14:paraId="6C1ED757">
            <w:pPr>
              <w:jc w:val="center"/>
              <w:rPr>
                <w:rFonts w:hint="default" w:ascii="Arial" w:eastAsia="宋体"/>
                <w:kern w:val="2"/>
                <w:sz w:val="21"/>
                <w:lang w:val="en-US" w:eastAsia="zh-CN" w:bidi="ar-SA"/>
              </w:rPr>
            </w:pPr>
            <w:r>
              <w:rPr>
                <w:rFonts w:hint="eastAsia" w:ascii="Arial"/>
                <w:sz w:val="21"/>
                <w:lang w:val="en-US" w:eastAsia="zh-CN"/>
              </w:rPr>
              <w:t>保质保量</w:t>
            </w:r>
          </w:p>
        </w:tc>
        <w:tc>
          <w:tcPr>
            <w:tcW w:w="1318" w:type="dxa"/>
            <w:gridSpan w:val="2"/>
            <w:noWrap w:val="0"/>
            <w:vAlign w:val="top"/>
          </w:tcPr>
          <w:p w14:paraId="5F8B302B">
            <w:pPr>
              <w:jc w:val="center"/>
              <w:rPr>
                <w:rFonts w:hint="default" w:ascii="Arial" w:eastAsia="宋体"/>
                <w:kern w:val="2"/>
                <w:sz w:val="21"/>
                <w:lang w:val="en-US" w:eastAsia="zh-CN" w:bidi="ar-SA"/>
              </w:rPr>
            </w:pPr>
            <w:r>
              <w:rPr>
                <w:rFonts w:hint="eastAsia" w:ascii="Arial"/>
                <w:sz w:val="21"/>
                <w:lang w:val="en-US" w:eastAsia="zh-CN"/>
              </w:rPr>
              <w:t>保质保量</w:t>
            </w:r>
          </w:p>
        </w:tc>
        <w:tc>
          <w:tcPr>
            <w:tcW w:w="884" w:type="dxa"/>
            <w:noWrap w:val="0"/>
            <w:vAlign w:val="top"/>
          </w:tcPr>
          <w:p w14:paraId="71B35534">
            <w:pPr>
              <w:jc w:val="center"/>
              <w:rPr>
                <w:rFonts w:hint="default" w:ascii="Arial" w:eastAsia="宋体"/>
                <w:kern w:val="2"/>
                <w:sz w:val="21"/>
                <w:lang w:val="en-US" w:eastAsia="zh-CN" w:bidi="ar-SA"/>
              </w:rPr>
            </w:pPr>
            <w:r>
              <w:rPr>
                <w:rFonts w:hint="eastAsia" w:ascii="Arial"/>
                <w:sz w:val="21"/>
                <w:lang w:val="en-US" w:eastAsia="zh-CN"/>
              </w:rPr>
              <w:t>20</w:t>
            </w:r>
          </w:p>
        </w:tc>
      </w:tr>
      <w:tr w14:paraId="3FFC3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F3A2007">
            <w:pPr>
              <w:rPr>
                <w:rFonts w:ascii="Arial"/>
                <w:sz w:val="21"/>
              </w:rPr>
            </w:pPr>
          </w:p>
        </w:tc>
        <w:tc>
          <w:tcPr>
            <w:tcW w:w="689" w:type="dxa"/>
            <w:vMerge w:val="continue"/>
            <w:tcBorders>
              <w:top w:val="nil"/>
              <w:bottom w:val="nil"/>
            </w:tcBorders>
            <w:noWrap w:val="0"/>
            <w:vAlign w:val="top"/>
          </w:tcPr>
          <w:p w14:paraId="4DD725AD">
            <w:pPr>
              <w:rPr>
                <w:b/>
                <w:bCs/>
              </w:rPr>
            </w:pPr>
          </w:p>
        </w:tc>
        <w:tc>
          <w:tcPr>
            <w:tcW w:w="1119" w:type="dxa"/>
            <w:noWrap w:val="0"/>
            <w:vAlign w:val="top"/>
          </w:tcPr>
          <w:p w14:paraId="04AEB294">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时效指标</w:t>
            </w:r>
          </w:p>
        </w:tc>
        <w:tc>
          <w:tcPr>
            <w:tcW w:w="2647" w:type="dxa"/>
            <w:gridSpan w:val="3"/>
            <w:noWrap w:val="0"/>
            <w:vAlign w:val="top"/>
          </w:tcPr>
          <w:p w14:paraId="56F31E8B">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及时完成重大项目评审工作</w:t>
            </w:r>
          </w:p>
        </w:tc>
        <w:tc>
          <w:tcPr>
            <w:tcW w:w="1458" w:type="dxa"/>
            <w:noWrap w:val="0"/>
            <w:vAlign w:val="top"/>
          </w:tcPr>
          <w:p w14:paraId="796582D7">
            <w:pPr>
              <w:jc w:val="center"/>
              <w:rPr>
                <w:rFonts w:hint="eastAsia" w:ascii="Arial" w:eastAsia="宋体"/>
                <w:kern w:val="2"/>
                <w:sz w:val="21"/>
                <w:lang w:val="en-US" w:eastAsia="zh-CN" w:bidi="ar-SA"/>
              </w:rPr>
            </w:pPr>
            <w:r>
              <w:rPr>
                <w:rFonts w:hint="eastAsia" w:ascii="Arial"/>
                <w:sz w:val="21"/>
                <w:lang w:val="en-US" w:eastAsia="zh-CN"/>
              </w:rPr>
              <w:t>及时</w:t>
            </w:r>
          </w:p>
        </w:tc>
        <w:tc>
          <w:tcPr>
            <w:tcW w:w="1318" w:type="dxa"/>
            <w:gridSpan w:val="2"/>
            <w:noWrap w:val="0"/>
            <w:vAlign w:val="top"/>
          </w:tcPr>
          <w:p w14:paraId="72BF9CC3">
            <w:pPr>
              <w:jc w:val="center"/>
              <w:rPr>
                <w:rFonts w:hint="eastAsia" w:ascii="Arial" w:eastAsia="宋体"/>
                <w:kern w:val="2"/>
                <w:sz w:val="21"/>
                <w:lang w:val="en-US" w:eastAsia="zh-CN" w:bidi="ar-SA"/>
              </w:rPr>
            </w:pPr>
            <w:r>
              <w:rPr>
                <w:rFonts w:hint="eastAsia" w:ascii="Arial"/>
                <w:sz w:val="21"/>
                <w:lang w:val="en-US" w:eastAsia="zh-CN"/>
              </w:rPr>
              <w:t>及时</w:t>
            </w:r>
          </w:p>
        </w:tc>
        <w:tc>
          <w:tcPr>
            <w:tcW w:w="884" w:type="dxa"/>
            <w:noWrap w:val="0"/>
            <w:vAlign w:val="top"/>
          </w:tcPr>
          <w:p w14:paraId="58CF10C6">
            <w:pPr>
              <w:jc w:val="center"/>
              <w:rPr>
                <w:rFonts w:hint="default" w:ascii="Arial" w:eastAsia="宋体"/>
                <w:kern w:val="2"/>
                <w:sz w:val="21"/>
                <w:lang w:val="en-US" w:eastAsia="zh-CN" w:bidi="ar-SA"/>
              </w:rPr>
            </w:pPr>
            <w:r>
              <w:rPr>
                <w:rFonts w:hint="eastAsia" w:ascii="Arial"/>
                <w:sz w:val="21"/>
                <w:lang w:val="en-US" w:eastAsia="zh-CN"/>
              </w:rPr>
              <w:t>20</w:t>
            </w:r>
          </w:p>
        </w:tc>
      </w:tr>
      <w:tr w14:paraId="61632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2AD7D75A">
            <w:pPr>
              <w:rPr>
                <w:rFonts w:ascii="Arial"/>
                <w:sz w:val="21"/>
              </w:rPr>
            </w:pPr>
          </w:p>
        </w:tc>
        <w:tc>
          <w:tcPr>
            <w:tcW w:w="689" w:type="dxa"/>
            <w:vMerge w:val="continue"/>
            <w:tcBorders>
              <w:top w:val="nil"/>
              <w:bottom w:val="nil"/>
            </w:tcBorders>
            <w:noWrap w:val="0"/>
            <w:vAlign w:val="top"/>
          </w:tcPr>
          <w:p w14:paraId="4435D3D7">
            <w:pPr>
              <w:rPr>
                <w:b/>
                <w:bCs/>
              </w:rPr>
            </w:pPr>
          </w:p>
        </w:tc>
        <w:tc>
          <w:tcPr>
            <w:tcW w:w="1119" w:type="dxa"/>
            <w:noWrap w:val="0"/>
            <w:vAlign w:val="top"/>
          </w:tcPr>
          <w:p w14:paraId="528092D9">
            <w:pPr>
              <w:jc w:val="center"/>
              <w:rPr>
                <w:rFonts w:hint="default" w:ascii="Arial" w:hAnsi="Calibri" w:eastAsia="宋体" w:cs="Times New Roman"/>
                <w:sz w:val="21"/>
                <w:lang w:val="en-US" w:eastAsia="zh-CN"/>
              </w:rPr>
            </w:pPr>
          </w:p>
        </w:tc>
        <w:tc>
          <w:tcPr>
            <w:tcW w:w="2647" w:type="dxa"/>
            <w:gridSpan w:val="3"/>
            <w:noWrap w:val="0"/>
            <w:vAlign w:val="top"/>
          </w:tcPr>
          <w:p w14:paraId="62415937">
            <w:pPr>
              <w:jc w:val="center"/>
              <w:rPr>
                <w:rFonts w:hint="default" w:ascii="Arial" w:hAnsi="Calibri" w:eastAsia="宋体" w:cs="Times New Roman"/>
                <w:sz w:val="21"/>
                <w:lang w:val="en-US" w:eastAsia="zh-CN"/>
              </w:rPr>
            </w:pPr>
          </w:p>
        </w:tc>
        <w:tc>
          <w:tcPr>
            <w:tcW w:w="1458" w:type="dxa"/>
            <w:noWrap w:val="0"/>
            <w:vAlign w:val="top"/>
          </w:tcPr>
          <w:p w14:paraId="247E76B8">
            <w:pPr>
              <w:jc w:val="center"/>
              <w:rPr>
                <w:rFonts w:hint="eastAsia" w:ascii="Arial" w:eastAsia="宋体"/>
                <w:sz w:val="21"/>
                <w:lang w:val="en-US" w:eastAsia="zh-CN"/>
              </w:rPr>
            </w:pPr>
          </w:p>
        </w:tc>
        <w:tc>
          <w:tcPr>
            <w:tcW w:w="1318" w:type="dxa"/>
            <w:gridSpan w:val="2"/>
            <w:noWrap w:val="0"/>
            <w:vAlign w:val="top"/>
          </w:tcPr>
          <w:p w14:paraId="032C765F">
            <w:pPr>
              <w:jc w:val="center"/>
              <w:rPr>
                <w:rFonts w:hint="eastAsia" w:ascii="Arial" w:eastAsia="宋体"/>
                <w:kern w:val="2"/>
                <w:sz w:val="21"/>
                <w:lang w:val="en-US" w:eastAsia="zh-CN" w:bidi="ar-SA"/>
              </w:rPr>
            </w:pPr>
          </w:p>
        </w:tc>
        <w:tc>
          <w:tcPr>
            <w:tcW w:w="884" w:type="dxa"/>
            <w:noWrap w:val="0"/>
            <w:vAlign w:val="top"/>
          </w:tcPr>
          <w:p w14:paraId="5A94E4E6">
            <w:pPr>
              <w:jc w:val="center"/>
              <w:rPr>
                <w:rFonts w:hint="default" w:ascii="Arial" w:eastAsia="宋体"/>
                <w:sz w:val="21"/>
                <w:lang w:val="en-US" w:eastAsia="zh-CN"/>
              </w:rPr>
            </w:pPr>
          </w:p>
        </w:tc>
      </w:tr>
      <w:tr w14:paraId="4A5F0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656031E">
            <w:pPr>
              <w:rPr>
                <w:rFonts w:ascii="Arial"/>
                <w:sz w:val="21"/>
              </w:rPr>
            </w:pPr>
          </w:p>
        </w:tc>
        <w:tc>
          <w:tcPr>
            <w:tcW w:w="689" w:type="dxa"/>
            <w:vMerge w:val="continue"/>
            <w:tcBorders>
              <w:top w:val="nil"/>
            </w:tcBorders>
            <w:noWrap w:val="0"/>
            <w:vAlign w:val="top"/>
          </w:tcPr>
          <w:p w14:paraId="5E61543A">
            <w:pPr>
              <w:rPr>
                <w:b/>
                <w:bCs/>
              </w:rPr>
            </w:pPr>
          </w:p>
        </w:tc>
        <w:tc>
          <w:tcPr>
            <w:tcW w:w="1119" w:type="dxa"/>
            <w:noWrap w:val="0"/>
            <w:vAlign w:val="top"/>
          </w:tcPr>
          <w:p w14:paraId="5AA6ED47">
            <w:pPr>
              <w:spacing w:before="176" w:line="343"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9274339">
            <w:pPr>
              <w:jc w:val="center"/>
              <w:rPr>
                <w:rFonts w:ascii="Arial"/>
                <w:sz w:val="21"/>
              </w:rPr>
            </w:pPr>
          </w:p>
        </w:tc>
        <w:tc>
          <w:tcPr>
            <w:tcW w:w="1458" w:type="dxa"/>
            <w:noWrap w:val="0"/>
            <w:vAlign w:val="top"/>
          </w:tcPr>
          <w:p w14:paraId="68F06B4E">
            <w:pPr>
              <w:jc w:val="center"/>
              <w:rPr>
                <w:rFonts w:ascii="Arial"/>
                <w:sz w:val="21"/>
              </w:rPr>
            </w:pPr>
          </w:p>
        </w:tc>
        <w:tc>
          <w:tcPr>
            <w:tcW w:w="1318" w:type="dxa"/>
            <w:gridSpan w:val="2"/>
            <w:noWrap w:val="0"/>
            <w:vAlign w:val="top"/>
          </w:tcPr>
          <w:p w14:paraId="3DB7CA52">
            <w:pPr>
              <w:jc w:val="center"/>
              <w:rPr>
                <w:rFonts w:ascii="Arial"/>
                <w:sz w:val="21"/>
              </w:rPr>
            </w:pPr>
          </w:p>
        </w:tc>
        <w:tc>
          <w:tcPr>
            <w:tcW w:w="884" w:type="dxa"/>
            <w:noWrap w:val="0"/>
            <w:vAlign w:val="top"/>
          </w:tcPr>
          <w:p w14:paraId="6EF86033">
            <w:pPr>
              <w:jc w:val="center"/>
              <w:rPr>
                <w:rFonts w:ascii="Arial"/>
                <w:sz w:val="21"/>
              </w:rPr>
            </w:pPr>
          </w:p>
        </w:tc>
      </w:tr>
      <w:tr w14:paraId="40F09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34A2D27B">
            <w:pPr>
              <w:rPr>
                <w:rFonts w:ascii="Arial"/>
                <w:sz w:val="21"/>
              </w:rPr>
            </w:pPr>
          </w:p>
        </w:tc>
        <w:tc>
          <w:tcPr>
            <w:tcW w:w="689" w:type="dxa"/>
            <w:vMerge w:val="restart"/>
            <w:tcBorders>
              <w:bottom w:val="nil"/>
            </w:tcBorders>
            <w:noWrap w:val="0"/>
            <w:vAlign w:val="top"/>
          </w:tcPr>
          <w:p w14:paraId="2EB90BBA">
            <w:pPr>
              <w:jc w:val="center"/>
              <w:rPr>
                <w:rFonts w:ascii="Calibri" w:hAnsi="Calibri" w:eastAsia="宋体" w:cs="Times New Roman"/>
                <w:b/>
                <w:bCs/>
              </w:rPr>
            </w:pPr>
          </w:p>
          <w:p w14:paraId="24B1F934">
            <w:pPr>
              <w:jc w:val="center"/>
              <w:rPr>
                <w:rFonts w:ascii="Calibri" w:hAnsi="Calibri" w:eastAsia="宋体" w:cs="Times New Roman"/>
                <w:b/>
                <w:bCs/>
              </w:rPr>
            </w:pPr>
          </w:p>
          <w:p w14:paraId="52C5AE66">
            <w:pPr>
              <w:jc w:val="center"/>
              <w:rPr>
                <w:rFonts w:ascii="Calibri" w:hAnsi="Calibri" w:eastAsia="宋体" w:cs="Times New Roman"/>
                <w:b/>
                <w:bCs/>
              </w:rPr>
            </w:pPr>
          </w:p>
          <w:p w14:paraId="0E10E902">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top"/>
          </w:tcPr>
          <w:p w14:paraId="0093E95E">
            <w:pPr>
              <w:spacing w:line="240" w:lineRule="auto"/>
              <w:ind w:left="0"/>
              <w:jc w:val="center"/>
              <w:rPr>
                <w:rFonts w:hint="eastAsia" w:ascii="宋体" w:hAnsi="宋体" w:eastAsia="宋体" w:cs="宋体"/>
                <w:sz w:val="11"/>
                <w:szCs w:val="11"/>
                <w:lang w:eastAsia="zh-CN"/>
              </w:rPr>
            </w:pPr>
            <w:r>
              <w:rPr>
                <w:rFonts w:hint="eastAsia" w:ascii="Arial" w:hAnsi="Calibri" w:eastAsia="宋体" w:cs="Times New Roman"/>
                <w:sz w:val="21"/>
                <w:lang w:val="en-US" w:eastAsia="zh-CN"/>
              </w:rPr>
              <w:t>经济效益指标</w:t>
            </w:r>
          </w:p>
        </w:tc>
        <w:tc>
          <w:tcPr>
            <w:tcW w:w="2647" w:type="dxa"/>
            <w:gridSpan w:val="3"/>
            <w:noWrap w:val="0"/>
            <w:vAlign w:val="top"/>
          </w:tcPr>
          <w:p w14:paraId="12A8942D">
            <w:pPr>
              <w:jc w:val="center"/>
              <w:rPr>
                <w:rFonts w:hint="default" w:ascii="Arial"/>
                <w:sz w:val="21"/>
                <w:lang w:val="en-US" w:eastAsia="zh-CN"/>
              </w:rPr>
            </w:pPr>
            <w:r>
              <w:rPr>
                <w:rFonts w:hint="eastAsia" w:ascii="Arial"/>
                <w:sz w:val="21"/>
                <w:lang w:val="en-US" w:eastAsia="zh-CN"/>
              </w:rPr>
              <w:t>通过预算绩效结果，合理分配资金，提高经济效益</w:t>
            </w:r>
          </w:p>
          <w:p w14:paraId="21A9A1B1">
            <w:pPr>
              <w:jc w:val="center"/>
              <w:rPr>
                <w:rFonts w:ascii="Arial"/>
                <w:sz w:val="21"/>
              </w:rPr>
            </w:pPr>
          </w:p>
        </w:tc>
        <w:tc>
          <w:tcPr>
            <w:tcW w:w="1458" w:type="dxa"/>
            <w:noWrap w:val="0"/>
            <w:vAlign w:val="top"/>
          </w:tcPr>
          <w:p w14:paraId="52960A4B">
            <w:pPr>
              <w:jc w:val="center"/>
              <w:rPr>
                <w:rFonts w:hint="default" w:ascii="Arial" w:eastAsia="宋体"/>
                <w:sz w:val="21"/>
                <w:lang w:val="en-US" w:eastAsia="zh-CN"/>
              </w:rPr>
            </w:pPr>
            <w:r>
              <w:rPr>
                <w:rFonts w:hint="eastAsia" w:ascii="Arial"/>
                <w:sz w:val="21"/>
                <w:lang w:val="en-US" w:eastAsia="zh-CN"/>
              </w:rPr>
              <w:t>提高</w:t>
            </w:r>
          </w:p>
        </w:tc>
        <w:tc>
          <w:tcPr>
            <w:tcW w:w="1318" w:type="dxa"/>
            <w:gridSpan w:val="2"/>
            <w:noWrap w:val="0"/>
            <w:vAlign w:val="top"/>
          </w:tcPr>
          <w:p w14:paraId="56F16838">
            <w:pPr>
              <w:jc w:val="center"/>
              <w:rPr>
                <w:rFonts w:hint="eastAsia" w:ascii="Arial" w:eastAsia="宋体"/>
                <w:sz w:val="21"/>
                <w:lang w:val="en-US" w:eastAsia="zh-CN"/>
              </w:rPr>
            </w:pPr>
            <w:r>
              <w:rPr>
                <w:rFonts w:hint="eastAsia" w:ascii="Arial"/>
                <w:sz w:val="21"/>
                <w:lang w:val="en-US" w:eastAsia="zh-CN"/>
              </w:rPr>
              <w:t>提高</w:t>
            </w:r>
          </w:p>
        </w:tc>
        <w:tc>
          <w:tcPr>
            <w:tcW w:w="884" w:type="dxa"/>
            <w:noWrap w:val="0"/>
            <w:vAlign w:val="top"/>
          </w:tcPr>
          <w:p w14:paraId="362DD696">
            <w:pPr>
              <w:jc w:val="center"/>
              <w:rPr>
                <w:rFonts w:hint="default" w:ascii="Arial" w:eastAsia="宋体"/>
                <w:sz w:val="21"/>
                <w:lang w:val="en-US" w:eastAsia="zh-CN"/>
              </w:rPr>
            </w:pPr>
            <w:r>
              <w:rPr>
                <w:rFonts w:hint="eastAsia" w:ascii="Arial"/>
                <w:sz w:val="21"/>
                <w:lang w:val="en-US" w:eastAsia="zh-CN"/>
              </w:rPr>
              <w:t>20</w:t>
            </w:r>
          </w:p>
        </w:tc>
      </w:tr>
      <w:tr w14:paraId="2DE25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F724409">
            <w:pPr>
              <w:rPr>
                <w:rFonts w:ascii="Arial"/>
                <w:sz w:val="21"/>
              </w:rPr>
            </w:pPr>
          </w:p>
        </w:tc>
        <w:tc>
          <w:tcPr>
            <w:tcW w:w="689" w:type="dxa"/>
            <w:vMerge w:val="continue"/>
            <w:tcBorders>
              <w:top w:val="nil"/>
              <w:bottom w:val="nil"/>
            </w:tcBorders>
            <w:noWrap w:val="0"/>
            <w:vAlign w:val="top"/>
          </w:tcPr>
          <w:p w14:paraId="561862AE">
            <w:pPr>
              <w:jc w:val="center"/>
              <w:rPr>
                <w:rFonts w:ascii="Calibri" w:hAnsi="Calibri" w:eastAsia="宋体" w:cs="Times New Roman"/>
                <w:b/>
                <w:bCs/>
              </w:rPr>
            </w:pPr>
          </w:p>
        </w:tc>
        <w:tc>
          <w:tcPr>
            <w:tcW w:w="1119" w:type="dxa"/>
            <w:noWrap w:val="0"/>
            <w:vAlign w:val="top"/>
          </w:tcPr>
          <w:p w14:paraId="61D68BE9">
            <w:pPr>
              <w:spacing w:before="177" w:line="342"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E693F91">
            <w:pPr>
              <w:jc w:val="center"/>
              <w:rPr>
                <w:rFonts w:ascii="Arial"/>
                <w:sz w:val="21"/>
              </w:rPr>
            </w:pPr>
          </w:p>
        </w:tc>
        <w:tc>
          <w:tcPr>
            <w:tcW w:w="1458" w:type="dxa"/>
            <w:noWrap w:val="0"/>
            <w:vAlign w:val="top"/>
          </w:tcPr>
          <w:p w14:paraId="665DBA4B">
            <w:pPr>
              <w:jc w:val="center"/>
              <w:rPr>
                <w:rFonts w:ascii="Arial"/>
                <w:sz w:val="21"/>
              </w:rPr>
            </w:pPr>
          </w:p>
        </w:tc>
        <w:tc>
          <w:tcPr>
            <w:tcW w:w="1318" w:type="dxa"/>
            <w:gridSpan w:val="2"/>
            <w:noWrap w:val="0"/>
            <w:vAlign w:val="top"/>
          </w:tcPr>
          <w:p w14:paraId="62571811">
            <w:pPr>
              <w:jc w:val="center"/>
              <w:rPr>
                <w:rFonts w:ascii="Arial"/>
                <w:sz w:val="21"/>
              </w:rPr>
            </w:pPr>
          </w:p>
        </w:tc>
        <w:tc>
          <w:tcPr>
            <w:tcW w:w="884" w:type="dxa"/>
            <w:noWrap w:val="0"/>
            <w:vAlign w:val="top"/>
          </w:tcPr>
          <w:p w14:paraId="0ADA8ACA">
            <w:pPr>
              <w:jc w:val="center"/>
              <w:rPr>
                <w:rFonts w:ascii="Arial"/>
                <w:sz w:val="21"/>
              </w:rPr>
            </w:pPr>
          </w:p>
        </w:tc>
      </w:tr>
      <w:tr w14:paraId="0E8C0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2AFC9DA">
            <w:pPr>
              <w:rPr>
                <w:rFonts w:ascii="Arial"/>
                <w:sz w:val="21"/>
              </w:rPr>
            </w:pPr>
          </w:p>
        </w:tc>
        <w:tc>
          <w:tcPr>
            <w:tcW w:w="689" w:type="dxa"/>
            <w:vMerge w:val="continue"/>
            <w:tcBorders>
              <w:top w:val="nil"/>
              <w:bottom w:val="nil"/>
            </w:tcBorders>
            <w:noWrap w:val="0"/>
            <w:vAlign w:val="top"/>
          </w:tcPr>
          <w:p w14:paraId="2D02B970">
            <w:pPr>
              <w:jc w:val="center"/>
              <w:rPr>
                <w:rFonts w:ascii="Calibri" w:hAnsi="Calibri" w:eastAsia="宋体" w:cs="Times New Roman"/>
                <w:b/>
                <w:bCs/>
              </w:rPr>
            </w:pPr>
          </w:p>
        </w:tc>
        <w:tc>
          <w:tcPr>
            <w:tcW w:w="1119" w:type="dxa"/>
            <w:noWrap w:val="0"/>
            <w:vAlign w:val="top"/>
          </w:tcPr>
          <w:p w14:paraId="5B0274B1">
            <w:pPr>
              <w:spacing w:before="178" w:line="340"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DD83C73">
            <w:pPr>
              <w:jc w:val="center"/>
              <w:rPr>
                <w:rFonts w:ascii="Arial"/>
                <w:sz w:val="21"/>
              </w:rPr>
            </w:pPr>
          </w:p>
        </w:tc>
        <w:tc>
          <w:tcPr>
            <w:tcW w:w="1458" w:type="dxa"/>
            <w:noWrap w:val="0"/>
            <w:vAlign w:val="top"/>
          </w:tcPr>
          <w:p w14:paraId="4551FCE0">
            <w:pPr>
              <w:jc w:val="center"/>
              <w:rPr>
                <w:rFonts w:ascii="Arial"/>
                <w:sz w:val="21"/>
              </w:rPr>
            </w:pPr>
          </w:p>
        </w:tc>
        <w:tc>
          <w:tcPr>
            <w:tcW w:w="1318" w:type="dxa"/>
            <w:gridSpan w:val="2"/>
            <w:noWrap w:val="0"/>
            <w:vAlign w:val="top"/>
          </w:tcPr>
          <w:p w14:paraId="14B50C68">
            <w:pPr>
              <w:jc w:val="center"/>
              <w:rPr>
                <w:rFonts w:ascii="Arial"/>
                <w:sz w:val="21"/>
              </w:rPr>
            </w:pPr>
          </w:p>
        </w:tc>
        <w:tc>
          <w:tcPr>
            <w:tcW w:w="884" w:type="dxa"/>
            <w:noWrap w:val="0"/>
            <w:vAlign w:val="top"/>
          </w:tcPr>
          <w:p w14:paraId="47E0A837">
            <w:pPr>
              <w:jc w:val="center"/>
              <w:rPr>
                <w:rFonts w:ascii="Arial"/>
                <w:sz w:val="21"/>
              </w:rPr>
            </w:pPr>
          </w:p>
        </w:tc>
      </w:tr>
      <w:tr w14:paraId="53913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4385DB5">
            <w:pPr>
              <w:rPr>
                <w:rFonts w:ascii="Arial"/>
                <w:sz w:val="21"/>
              </w:rPr>
            </w:pPr>
          </w:p>
        </w:tc>
        <w:tc>
          <w:tcPr>
            <w:tcW w:w="689" w:type="dxa"/>
            <w:vMerge w:val="continue"/>
            <w:tcBorders>
              <w:top w:val="nil"/>
            </w:tcBorders>
            <w:noWrap w:val="0"/>
            <w:vAlign w:val="top"/>
          </w:tcPr>
          <w:p w14:paraId="09890F18">
            <w:pPr>
              <w:jc w:val="center"/>
              <w:rPr>
                <w:rFonts w:ascii="Calibri" w:hAnsi="Calibri" w:eastAsia="宋体" w:cs="Times New Roman"/>
                <w:b/>
                <w:bCs/>
              </w:rPr>
            </w:pPr>
          </w:p>
        </w:tc>
        <w:tc>
          <w:tcPr>
            <w:tcW w:w="1119" w:type="dxa"/>
            <w:noWrap w:val="0"/>
            <w:vAlign w:val="top"/>
          </w:tcPr>
          <w:p w14:paraId="422E4CB3">
            <w:pPr>
              <w:jc w:val="center"/>
              <w:rPr>
                <w:rFonts w:ascii="Arial"/>
                <w:sz w:val="21"/>
              </w:rPr>
            </w:pPr>
          </w:p>
        </w:tc>
        <w:tc>
          <w:tcPr>
            <w:tcW w:w="2647" w:type="dxa"/>
            <w:gridSpan w:val="3"/>
            <w:noWrap w:val="0"/>
            <w:vAlign w:val="top"/>
          </w:tcPr>
          <w:p w14:paraId="516A4518">
            <w:pPr>
              <w:jc w:val="center"/>
              <w:rPr>
                <w:rFonts w:ascii="Arial"/>
                <w:sz w:val="21"/>
              </w:rPr>
            </w:pPr>
          </w:p>
        </w:tc>
        <w:tc>
          <w:tcPr>
            <w:tcW w:w="1458" w:type="dxa"/>
            <w:noWrap w:val="0"/>
            <w:vAlign w:val="top"/>
          </w:tcPr>
          <w:p w14:paraId="01BB334F">
            <w:pPr>
              <w:jc w:val="center"/>
              <w:rPr>
                <w:rFonts w:ascii="Arial"/>
                <w:sz w:val="21"/>
              </w:rPr>
            </w:pPr>
          </w:p>
        </w:tc>
        <w:tc>
          <w:tcPr>
            <w:tcW w:w="1318" w:type="dxa"/>
            <w:gridSpan w:val="2"/>
            <w:noWrap w:val="0"/>
            <w:vAlign w:val="top"/>
          </w:tcPr>
          <w:p w14:paraId="0B2229B2">
            <w:pPr>
              <w:jc w:val="center"/>
              <w:rPr>
                <w:rFonts w:ascii="Arial"/>
                <w:sz w:val="21"/>
              </w:rPr>
            </w:pPr>
          </w:p>
        </w:tc>
        <w:tc>
          <w:tcPr>
            <w:tcW w:w="884" w:type="dxa"/>
            <w:noWrap w:val="0"/>
            <w:vAlign w:val="top"/>
          </w:tcPr>
          <w:p w14:paraId="47CBCC4B">
            <w:pPr>
              <w:jc w:val="center"/>
              <w:rPr>
                <w:rFonts w:ascii="Arial"/>
                <w:sz w:val="21"/>
              </w:rPr>
            </w:pPr>
          </w:p>
        </w:tc>
      </w:tr>
      <w:tr w14:paraId="1D2D9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61DE840">
            <w:pPr>
              <w:rPr>
                <w:rFonts w:ascii="Arial"/>
                <w:sz w:val="21"/>
              </w:rPr>
            </w:pPr>
          </w:p>
        </w:tc>
        <w:tc>
          <w:tcPr>
            <w:tcW w:w="689" w:type="dxa"/>
            <w:vMerge w:val="restart"/>
            <w:tcBorders>
              <w:bottom w:val="nil"/>
            </w:tcBorders>
            <w:noWrap w:val="0"/>
            <w:vAlign w:val="top"/>
          </w:tcPr>
          <w:p w14:paraId="24E1A33D">
            <w:pPr>
              <w:jc w:val="center"/>
              <w:rPr>
                <w:rFonts w:ascii="Calibri" w:hAnsi="Calibri" w:eastAsia="宋体" w:cs="Times New Roman"/>
                <w:b/>
                <w:bCs/>
              </w:rPr>
            </w:pPr>
            <w:r>
              <w:rPr>
                <w:rFonts w:ascii="Calibri" w:hAnsi="Calibri" w:eastAsia="宋体" w:cs="Times New Roman"/>
                <w:b/>
                <w:bCs/>
              </w:rPr>
              <w:t>满意</w:t>
            </w:r>
          </w:p>
          <w:p w14:paraId="0095CA0F">
            <w:pPr>
              <w:jc w:val="center"/>
              <w:rPr>
                <w:rFonts w:ascii="Calibri" w:hAnsi="Calibri" w:eastAsia="宋体" w:cs="Times New Roman"/>
                <w:b/>
                <w:bCs/>
              </w:rPr>
            </w:pPr>
            <w:r>
              <w:rPr>
                <w:rFonts w:ascii="Calibri" w:hAnsi="Calibri" w:eastAsia="宋体" w:cs="Times New Roman"/>
                <w:b/>
                <w:bCs/>
              </w:rPr>
              <w:t>度指</w:t>
            </w:r>
          </w:p>
          <w:p w14:paraId="6617E2D7">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top"/>
          </w:tcPr>
          <w:p w14:paraId="36276506">
            <w:pPr>
              <w:jc w:val="center"/>
              <w:rPr>
                <w:rFonts w:hint="default" w:ascii="Arial" w:hAnsi="Calibri" w:eastAsia="宋体" w:cs="Times New Roman"/>
                <w:sz w:val="21"/>
                <w:lang w:val="en-US" w:eastAsia="zh-CN"/>
              </w:rPr>
            </w:pPr>
            <w:r>
              <w:rPr>
                <w:rFonts w:hint="eastAsia" w:ascii="Arial" w:hAnsi="Calibri" w:eastAsia="宋体" w:cs="Times New Roman"/>
                <w:sz w:val="21"/>
                <w:lang w:val="en-US" w:eastAsia="zh-CN"/>
              </w:rPr>
              <w:t>服务对象满意度</w:t>
            </w:r>
          </w:p>
        </w:tc>
        <w:tc>
          <w:tcPr>
            <w:tcW w:w="2647" w:type="dxa"/>
            <w:gridSpan w:val="3"/>
            <w:noWrap w:val="0"/>
            <w:vAlign w:val="top"/>
          </w:tcPr>
          <w:p w14:paraId="19BD1187">
            <w:pPr>
              <w:jc w:val="center"/>
              <w:rPr>
                <w:rFonts w:hint="default" w:ascii="Arial" w:hAnsi="Calibri" w:eastAsia="宋体" w:cs="Times New Roman"/>
                <w:sz w:val="21"/>
                <w:lang w:val="en-US" w:eastAsia="zh-CN"/>
              </w:rPr>
            </w:pPr>
            <w:r>
              <w:rPr>
                <w:rFonts w:hint="eastAsia" w:ascii="Arial" w:hAnsi="Calibri" w:eastAsia="宋体" w:cs="Times New Roman"/>
                <w:sz w:val="21"/>
                <w:lang w:val="en-US" w:eastAsia="zh-CN"/>
              </w:rPr>
              <w:t>服务对象满意度</w:t>
            </w:r>
          </w:p>
        </w:tc>
        <w:tc>
          <w:tcPr>
            <w:tcW w:w="1458" w:type="dxa"/>
            <w:noWrap w:val="0"/>
            <w:vAlign w:val="top"/>
          </w:tcPr>
          <w:p w14:paraId="47A53540">
            <w:pPr>
              <w:jc w:val="center"/>
              <w:rPr>
                <w:rFonts w:ascii="Arial"/>
                <w:sz w:val="21"/>
              </w:rPr>
            </w:pPr>
            <w:r>
              <w:rPr>
                <w:rFonts w:hint="eastAsia" w:ascii="仿宋_GB2312" w:hAnsi="宋体" w:eastAsia="仿宋_GB2312" w:cs="仿宋_GB2312"/>
                <w:kern w:val="0"/>
                <w:szCs w:val="20"/>
                <w:lang w:val="en-US" w:eastAsia="zh-CN"/>
              </w:rPr>
              <w:t>≥80%</w:t>
            </w:r>
          </w:p>
        </w:tc>
        <w:tc>
          <w:tcPr>
            <w:tcW w:w="1318" w:type="dxa"/>
            <w:gridSpan w:val="2"/>
            <w:noWrap w:val="0"/>
            <w:vAlign w:val="top"/>
          </w:tcPr>
          <w:p w14:paraId="6BDDA5E9">
            <w:pPr>
              <w:jc w:val="center"/>
              <w:rPr>
                <w:rFonts w:ascii="Arial"/>
                <w:sz w:val="21"/>
              </w:rPr>
            </w:pPr>
            <w:r>
              <w:rPr>
                <w:rFonts w:hint="eastAsia" w:ascii="仿宋_GB2312" w:hAnsi="宋体" w:eastAsia="仿宋_GB2312" w:cs="仿宋_GB2312"/>
                <w:kern w:val="0"/>
                <w:szCs w:val="20"/>
                <w:lang w:val="en-US" w:eastAsia="zh-CN"/>
              </w:rPr>
              <w:t>≥80%</w:t>
            </w:r>
          </w:p>
        </w:tc>
        <w:tc>
          <w:tcPr>
            <w:tcW w:w="884" w:type="dxa"/>
            <w:noWrap w:val="0"/>
            <w:vAlign w:val="top"/>
          </w:tcPr>
          <w:p w14:paraId="6A885AE1">
            <w:pPr>
              <w:jc w:val="center"/>
              <w:rPr>
                <w:rFonts w:hint="default" w:ascii="Arial" w:eastAsia="宋体"/>
                <w:sz w:val="21"/>
                <w:lang w:val="en-US" w:eastAsia="zh-CN"/>
              </w:rPr>
            </w:pPr>
            <w:r>
              <w:rPr>
                <w:rFonts w:hint="eastAsia" w:ascii="Arial"/>
                <w:sz w:val="21"/>
                <w:lang w:val="en-US" w:eastAsia="zh-CN"/>
              </w:rPr>
              <w:t>20</w:t>
            </w:r>
          </w:p>
        </w:tc>
      </w:tr>
      <w:tr w14:paraId="35F06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B0FC367">
            <w:pPr>
              <w:rPr>
                <w:rFonts w:ascii="Arial"/>
                <w:sz w:val="21"/>
              </w:rPr>
            </w:pPr>
          </w:p>
        </w:tc>
        <w:tc>
          <w:tcPr>
            <w:tcW w:w="689" w:type="dxa"/>
            <w:vMerge w:val="continue"/>
            <w:tcBorders>
              <w:top w:val="nil"/>
            </w:tcBorders>
            <w:noWrap w:val="0"/>
            <w:vAlign w:val="top"/>
          </w:tcPr>
          <w:p w14:paraId="2FC15AEA">
            <w:pPr>
              <w:rPr>
                <w:rFonts w:ascii="Arial"/>
                <w:sz w:val="21"/>
              </w:rPr>
            </w:pPr>
          </w:p>
        </w:tc>
        <w:tc>
          <w:tcPr>
            <w:tcW w:w="1119" w:type="dxa"/>
            <w:noWrap w:val="0"/>
            <w:vAlign w:val="top"/>
          </w:tcPr>
          <w:p w14:paraId="74B78B33">
            <w:pPr>
              <w:rPr>
                <w:rFonts w:ascii="Arial"/>
                <w:sz w:val="21"/>
              </w:rPr>
            </w:pPr>
          </w:p>
        </w:tc>
        <w:tc>
          <w:tcPr>
            <w:tcW w:w="2647" w:type="dxa"/>
            <w:gridSpan w:val="3"/>
            <w:noWrap w:val="0"/>
            <w:vAlign w:val="top"/>
          </w:tcPr>
          <w:p w14:paraId="520F3FC8">
            <w:pPr>
              <w:rPr>
                <w:rFonts w:ascii="Arial"/>
                <w:sz w:val="21"/>
              </w:rPr>
            </w:pPr>
          </w:p>
        </w:tc>
        <w:tc>
          <w:tcPr>
            <w:tcW w:w="1458" w:type="dxa"/>
            <w:noWrap w:val="0"/>
            <w:vAlign w:val="top"/>
          </w:tcPr>
          <w:p w14:paraId="3BDA5067">
            <w:pPr>
              <w:rPr>
                <w:rFonts w:ascii="Arial"/>
                <w:sz w:val="21"/>
              </w:rPr>
            </w:pPr>
          </w:p>
        </w:tc>
        <w:tc>
          <w:tcPr>
            <w:tcW w:w="1318" w:type="dxa"/>
            <w:gridSpan w:val="2"/>
            <w:noWrap w:val="0"/>
            <w:vAlign w:val="top"/>
          </w:tcPr>
          <w:p w14:paraId="2DC7D6C7">
            <w:pPr>
              <w:rPr>
                <w:rFonts w:ascii="Arial"/>
                <w:sz w:val="21"/>
              </w:rPr>
            </w:pPr>
          </w:p>
        </w:tc>
        <w:tc>
          <w:tcPr>
            <w:tcW w:w="884" w:type="dxa"/>
            <w:noWrap w:val="0"/>
            <w:vAlign w:val="top"/>
          </w:tcPr>
          <w:p w14:paraId="54D6C545">
            <w:pPr>
              <w:rPr>
                <w:rFonts w:ascii="Arial"/>
                <w:sz w:val="21"/>
              </w:rPr>
            </w:pPr>
          </w:p>
        </w:tc>
      </w:tr>
      <w:tr w14:paraId="40FAD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362CF194">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0B016935">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794BC65D">
            <w:pPr>
              <w:rPr>
                <w:rFonts w:ascii="Arial"/>
                <w:sz w:val="21"/>
              </w:rPr>
            </w:pPr>
          </w:p>
        </w:tc>
        <w:tc>
          <w:tcPr>
            <w:tcW w:w="1119" w:type="dxa"/>
            <w:noWrap w:val="0"/>
            <w:vAlign w:val="top"/>
          </w:tcPr>
          <w:p w14:paraId="74409E38">
            <w:pPr>
              <w:rPr>
                <w:rFonts w:ascii="Arial"/>
                <w:sz w:val="21"/>
              </w:rPr>
            </w:pPr>
          </w:p>
        </w:tc>
        <w:tc>
          <w:tcPr>
            <w:tcW w:w="2647" w:type="dxa"/>
            <w:gridSpan w:val="3"/>
            <w:noWrap w:val="0"/>
            <w:vAlign w:val="top"/>
          </w:tcPr>
          <w:p w14:paraId="3AA81044">
            <w:pPr>
              <w:rPr>
                <w:rFonts w:ascii="Arial"/>
                <w:sz w:val="21"/>
              </w:rPr>
            </w:pPr>
          </w:p>
        </w:tc>
        <w:tc>
          <w:tcPr>
            <w:tcW w:w="1458" w:type="dxa"/>
            <w:noWrap w:val="0"/>
            <w:vAlign w:val="top"/>
          </w:tcPr>
          <w:p w14:paraId="2309EC92">
            <w:pPr>
              <w:rPr>
                <w:rFonts w:ascii="Arial"/>
                <w:sz w:val="21"/>
              </w:rPr>
            </w:pPr>
          </w:p>
        </w:tc>
        <w:tc>
          <w:tcPr>
            <w:tcW w:w="1318" w:type="dxa"/>
            <w:gridSpan w:val="2"/>
            <w:noWrap w:val="0"/>
            <w:vAlign w:val="top"/>
          </w:tcPr>
          <w:p w14:paraId="0091298F">
            <w:pPr>
              <w:rPr>
                <w:rFonts w:ascii="Arial"/>
                <w:sz w:val="21"/>
              </w:rPr>
            </w:pPr>
          </w:p>
        </w:tc>
        <w:tc>
          <w:tcPr>
            <w:tcW w:w="884" w:type="dxa"/>
            <w:noWrap w:val="0"/>
            <w:vAlign w:val="top"/>
          </w:tcPr>
          <w:p w14:paraId="3036133C">
            <w:pPr>
              <w:rPr>
                <w:rFonts w:ascii="Arial"/>
                <w:sz w:val="21"/>
              </w:rPr>
            </w:pPr>
          </w:p>
        </w:tc>
      </w:tr>
      <w:tr w14:paraId="09EF8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5AC82F7A">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005FBA4B">
            <w:pPr>
              <w:rPr>
                <w:rFonts w:ascii="Arial"/>
                <w:sz w:val="21"/>
              </w:rPr>
            </w:pPr>
          </w:p>
        </w:tc>
        <w:tc>
          <w:tcPr>
            <w:tcW w:w="1119" w:type="dxa"/>
            <w:noWrap w:val="0"/>
            <w:vAlign w:val="top"/>
          </w:tcPr>
          <w:p w14:paraId="017A09FC">
            <w:pPr>
              <w:rPr>
                <w:rFonts w:ascii="Arial"/>
                <w:sz w:val="21"/>
              </w:rPr>
            </w:pPr>
          </w:p>
        </w:tc>
        <w:tc>
          <w:tcPr>
            <w:tcW w:w="2647" w:type="dxa"/>
            <w:gridSpan w:val="3"/>
            <w:noWrap w:val="0"/>
            <w:vAlign w:val="top"/>
          </w:tcPr>
          <w:p w14:paraId="3FF8EF0F">
            <w:pPr>
              <w:rPr>
                <w:rFonts w:ascii="Arial"/>
                <w:sz w:val="21"/>
              </w:rPr>
            </w:pPr>
          </w:p>
        </w:tc>
        <w:tc>
          <w:tcPr>
            <w:tcW w:w="1458" w:type="dxa"/>
            <w:noWrap w:val="0"/>
            <w:vAlign w:val="top"/>
          </w:tcPr>
          <w:p w14:paraId="5446C659">
            <w:pPr>
              <w:rPr>
                <w:rFonts w:ascii="Arial"/>
                <w:sz w:val="21"/>
              </w:rPr>
            </w:pPr>
          </w:p>
        </w:tc>
        <w:tc>
          <w:tcPr>
            <w:tcW w:w="1318" w:type="dxa"/>
            <w:gridSpan w:val="2"/>
            <w:noWrap w:val="0"/>
            <w:vAlign w:val="top"/>
          </w:tcPr>
          <w:p w14:paraId="3C50B5ED">
            <w:pPr>
              <w:rPr>
                <w:rFonts w:ascii="Arial"/>
                <w:sz w:val="21"/>
              </w:rPr>
            </w:pPr>
          </w:p>
        </w:tc>
        <w:tc>
          <w:tcPr>
            <w:tcW w:w="884" w:type="dxa"/>
            <w:noWrap w:val="0"/>
            <w:vAlign w:val="top"/>
          </w:tcPr>
          <w:p w14:paraId="0E7E9F67">
            <w:pPr>
              <w:rPr>
                <w:rFonts w:ascii="Arial"/>
                <w:sz w:val="21"/>
              </w:rPr>
            </w:pPr>
          </w:p>
        </w:tc>
      </w:tr>
      <w:tr w14:paraId="5527A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C4496BF">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top"/>
          </w:tcPr>
          <w:p w14:paraId="06CC2297">
            <w:pPr>
              <w:rPr>
                <w:rFonts w:hint="default" w:ascii="Arial" w:eastAsia="宋体"/>
                <w:sz w:val="21"/>
                <w:lang w:val="en-US" w:eastAsia="zh-CN"/>
              </w:rPr>
            </w:pPr>
            <w:r>
              <w:rPr>
                <w:rFonts w:hint="eastAsia" w:ascii="Arial"/>
                <w:sz w:val="21"/>
                <w:lang w:val="en-US" w:eastAsia="zh-CN"/>
              </w:rPr>
              <w:t>85.26</w:t>
            </w:r>
          </w:p>
        </w:tc>
      </w:tr>
      <w:tr w14:paraId="3C1E1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8" w:hRule="atLeast"/>
        </w:trPr>
        <w:tc>
          <w:tcPr>
            <w:tcW w:w="814" w:type="dxa"/>
            <w:noWrap w:val="0"/>
            <w:vAlign w:val="top"/>
          </w:tcPr>
          <w:p w14:paraId="611FAC76">
            <w:pPr>
              <w:spacing w:line="242" w:lineRule="auto"/>
              <w:rPr>
                <w:rFonts w:ascii="Arial"/>
                <w:sz w:val="21"/>
              </w:rPr>
            </w:pPr>
          </w:p>
          <w:p w14:paraId="02A4A9A8">
            <w:pPr>
              <w:spacing w:line="242" w:lineRule="auto"/>
              <w:rPr>
                <w:rFonts w:ascii="Arial"/>
                <w:b/>
                <w:bCs/>
                <w:sz w:val="21"/>
              </w:rPr>
            </w:pPr>
          </w:p>
          <w:p w14:paraId="5391376D">
            <w:pPr>
              <w:jc w:val="center"/>
              <w:rPr>
                <w:b/>
                <w:bCs/>
              </w:rPr>
            </w:pPr>
            <w:r>
              <w:rPr>
                <w:b/>
                <w:bCs/>
              </w:rPr>
              <w:t>偏差大或</w:t>
            </w:r>
          </w:p>
          <w:p w14:paraId="13ED5B98">
            <w:pPr>
              <w:jc w:val="center"/>
              <w:rPr>
                <w:b/>
                <w:bCs/>
              </w:rPr>
            </w:pPr>
            <w:r>
              <w:rPr>
                <w:b/>
                <w:bCs/>
              </w:rPr>
              <w:t>目标未完成</w:t>
            </w:r>
          </w:p>
          <w:p w14:paraId="7E29098C">
            <w:pPr>
              <w:jc w:val="center"/>
              <w:rPr>
                <w:rFonts w:ascii="宋体" w:hAnsi="宋体" w:eastAsia="宋体" w:cs="宋体"/>
                <w:sz w:val="20"/>
                <w:szCs w:val="20"/>
              </w:rPr>
            </w:pPr>
            <w:r>
              <w:rPr>
                <w:b/>
                <w:bCs/>
              </w:rPr>
              <w:t>原因分析</w:t>
            </w:r>
          </w:p>
        </w:tc>
        <w:tc>
          <w:tcPr>
            <w:tcW w:w="8115" w:type="dxa"/>
            <w:gridSpan w:val="9"/>
            <w:noWrap w:val="0"/>
            <w:vAlign w:val="top"/>
          </w:tcPr>
          <w:p w14:paraId="6925A35A">
            <w:pPr>
              <w:rPr>
                <w:rFonts w:hint="default" w:ascii="Arial" w:eastAsia="宋体"/>
                <w:sz w:val="21"/>
                <w:lang w:val="en-US" w:eastAsia="zh-CN"/>
              </w:rPr>
            </w:pPr>
            <w:r>
              <w:rPr>
                <w:rFonts w:hint="eastAsia" w:ascii="Arial"/>
                <w:sz w:val="21"/>
                <w:lang w:val="en-US" w:eastAsia="zh-CN"/>
              </w:rPr>
              <w:t>2021年，上级下达预算绩效管理经费补助25万，我局优先使用上级资金，故年初预算专项经费执行率偏低。</w:t>
            </w:r>
          </w:p>
        </w:tc>
      </w:tr>
      <w:tr w14:paraId="758B5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atLeast"/>
        </w:trPr>
        <w:tc>
          <w:tcPr>
            <w:tcW w:w="814" w:type="dxa"/>
            <w:noWrap w:val="0"/>
            <w:vAlign w:val="top"/>
          </w:tcPr>
          <w:p w14:paraId="205B9BA7">
            <w:pPr>
              <w:spacing w:line="270" w:lineRule="auto"/>
              <w:rPr>
                <w:rFonts w:ascii="Arial"/>
                <w:sz w:val="21"/>
              </w:rPr>
            </w:pPr>
          </w:p>
          <w:p w14:paraId="61EBAEC1">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8115" w:type="dxa"/>
            <w:gridSpan w:val="9"/>
            <w:noWrap w:val="0"/>
            <w:vAlign w:val="top"/>
          </w:tcPr>
          <w:p w14:paraId="064F1AA3">
            <w:pPr>
              <w:rPr>
                <w:rFonts w:hint="eastAsia" w:ascii="Arial"/>
                <w:sz w:val="21"/>
                <w:lang w:val="en-US" w:eastAsia="zh-CN"/>
              </w:rPr>
            </w:pPr>
            <w:r>
              <w:rPr>
                <w:rFonts w:hint="eastAsia" w:ascii="Arial"/>
                <w:sz w:val="21"/>
                <w:lang w:val="en-US" w:eastAsia="zh-CN"/>
              </w:rPr>
              <w:t>进一步加强部门预算编制的科学性、准确性和严肃性，加强项目进度的监管控制，提高项目绩效水平。</w:t>
            </w:r>
          </w:p>
          <w:p w14:paraId="3D3054D7">
            <w:pPr>
              <w:rPr>
                <w:rFonts w:ascii="Arial"/>
                <w:sz w:val="21"/>
              </w:rPr>
            </w:pPr>
          </w:p>
        </w:tc>
      </w:tr>
    </w:tbl>
    <w:p w14:paraId="6CDAC359">
      <w:pPr>
        <w:spacing w:before="46" w:line="224" w:lineRule="auto"/>
        <w:ind w:left="164"/>
        <w:rPr>
          <w:rFonts w:ascii="仿宋" w:hAnsi="仿宋" w:eastAsia="仿宋" w:cs="仿宋"/>
          <w:sz w:val="24"/>
          <w:szCs w:val="24"/>
        </w:rPr>
      </w:pPr>
      <w:r>
        <w:rPr>
          <w:rFonts w:ascii="仿宋" w:hAnsi="仿宋" w:eastAsia="仿宋" w:cs="仿宋"/>
          <w:spacing w:val="-27"/>
          <w:sz w:val="24"/>
          <w:szCs w:val="24"/>
        </w:rPr>
        <w:t>备注：</w:t>
      </w:r>
    </w:p>
    <w:p w14:paraId="4709CE4C">
      <w:pPr>
        <w:spacing w:before="40" w:line="257" w:lineRule="auto"/>
        <w:ind w:left="164" w:right="163" w:firstLine="410"/>
        <w:rPr>
          <w:rFonts w:ascii="仿宋" w:hAnsi="仿宋" w:eastAsia="仿宋" w:cs="仿宋"/>
          <w:sz w:val="21"/>
          <w:szCs w:val="21"/>
        </w:rPr>
      </w:pPr>
      <w:r>
        <w:rPr>
          <w:rFonts w:ascii="仿宋" w:hAnsi="仿宋" w:eastAsia="仿宋" w:cs="仿宋"/>
          <w:spacing w:val="8"/>
          <w:sz w:val="21"/>
          <w:szCs w:val="21"/>
        </w:rPr>
        <w:t>1.预算执行情况口径：预算数为调整后财政资金总额(包括上年结余结转),执行数为资</w:t>
      </w:r>
      <w:r>
        <w:rPr>
          <w:rFonts w:ascii="仿宋" w:hAnsi="仿宋" w:eastAsia="仿宋" w:cs="仿宋"/>
          <w:spacing w:val="5"/>
          <w:sz w:val="21"/>
          <w:szCs w:val="21"/>
        </w:rPr>
        <w:t xml:space="preserve"> </w:t>
      </w:r>
      <w:r>
        <w:rPr>
          <w:rFonts w:ascii="仿宋" w:hAnsi="仿宋" w:eastAsia="仿宋" w:cs="仿宋"/>
          <w:sz w:val="21"/>
          <w:szCs w:val="21"/>
        </w:rPr>
        <w:t>金使用单位财政资金实际支出数。涉及政府采购的项目支出要</w:t>
      </w:r>
      <w:r>
        <w:rPr>
          <w:rFonts w:ascii="仿宋" w:hAnsi="仿宋" w:eastAsia="仿宋" w:cs="仿宋"/>
          <w:spacing w:val="-1"/>
          <w:sz w:val="21"/>
          <w:szCs w:val="21"/>
        </w:rPr>
        <w:t>设置相关绩效指标反映政府采购</w:t>
      </w:r>
      <w:r>
        <w:rPr>
          <w:rFonts w:ascii="仿宋" w:hAnsi="仿宋" w:eastAsia="仿宋" w:cs="仿宋"/>
          <w:sz w:val="21"/>
          <w:szCs w:val="21"/>
        </w:rPr>
        <w:t xml:space="preserve"> </w:t>
      </w:r>
      <w:r>
        <w:rPr>
          <w:rFonts w:ascii="仿宋" w:hAnsi="仿宋" w:eastAsia="仿宋" w:cs="仿宋"/>
          <w:spacing w:val="-9"/>
          <w:sz w:val="21"/>
          <w:szCs w:val="21"/>
        </w:rPr>
        <w:t>管理情况。</w:t>
      </w:r>
    </w:p>
    <w:p w14:paraId="74E0E704">
      <w:pPr>
        <w:spacing w:before="54" w:line="256" w:lineRule="auto"/>
        <w:ind w:left="164" w:right="199" w:firstLine="410"/>
        <w:rPr>
          <w:rFonts w:ascii="仿宋" w:hAnsi="仿宋" w:eastAsia="仿宋" w:cs="仿宋"/>
          <w:sz w:val="21"/>
          <w:szCs w:val="21"/>
        </w:rPr>
      </w:pPr>
      <w:r>
        <w:rPr>
          <w:rFonts w:ascii="仿宋" w:hAnsi="仿宋" w:eastAsia="仿宋" w:cs="仿宋"/>
          <w:spacing w:val="-1"/>
          <w:sz w:val="21"/>
          <w:szCs w:val="21"/>
        </w:rPr>
        <w:t>2.定量指标完成数汇总原则：绝对值直接累加计算，相对值按照资金额度加权平均计算。</w:t>
      </w:r>
      <w:r>
        <w:rPr>
          <w:rFonts w:ascii="仿宋" w:hAnsi="仿宋" w:eastAsia="仿宋" w:cs="仿宋"/>
          <w:spacing w:val="3"/>
          <w:sz w:val="21"/>
          <w:szCs w:val="21"/>
        </w:rPr>
        <w:t xml:space="preserve"> 定量指标计分原则：正向指标(即目标值为≥X,得分=权重*B/</w:t>
      </w:r>
      <w:r>
        <w:rPr>
          <w:rFonts w:ascii="仿宋" w:hAnsi="仿宋" w:eastAsia="仿宋" w:cs="仿宋"/>
          <w:spacing w:val="2"/>
          <w:sz w:val="21"/>
          <w:szCs w:val="21"/>
        </w:rPr>
        <w:t>A),</w:t>
      </w:r>
      <w:r>
        <w:rPr>
          <w:rFonts w:ascii="仿宋" w:hAnsi="仿宋" w:eastAsia="仿宋" w:cs="仿宋"/>
          <w:spacing w:val="52"/>
          <w:sz w:val="21"/>
          <w:szCs w:val="21"/>
        </w:rPr>
        <w:t xml:space="preserve"> </w:t>
      </w:r>
      <w:r>
        <w:rPr>
          <w:rFonts w:ascii="仿宋" w:hAnsi="仿宋" w:eastAsia="仿宋" w:cs="仿宋"/>
          <w:spacing w:val="2"/>
          <w:sz w:val="21"/>
          <w:szCs w:val="21"/>
        </w:rPr>
        <w:t>反向指标(即目标值为≤X,</w:t>
      </w:r>
      <w:r>
        <w:rPr>
          <w:rFonts w:ascii="仿宋" w:hAnsi="仿宋" w:eastAsia="仿宋" w:cs="仿宋"/>
          <w:sz w:val="21"/>
          <w:szCs w:val="21"/>
        </w:rPr>
        <w:t xml:space="preserve"> </w:t>
      </w:r>
      <w:r>
        <w:rPr>
          <w:rFonts w:ascii="仿宋" w:hAnsi="仿宋" w:eastAsia="仿宋" w:cs="仿宋"/>
          <w:spacing w:val="-1"/>
          <w:sz w:val="21"/>
          <w:szCs w:val="21"/>
        </w:rPr>
        <w:t>得分=权重*A/B),</w:t>
      </w:r>
      <w:r>
        <w:rPr>
          <w:rFonts w:ascii="仿宋" w:hAnsi="仿宋" w:eastAsia="仿宋" w:cs="仿宋"/>
          <w:spacing w:val="100"/>
          <w:sz w:val="21"/>
          <w:szCs w:val="21"/>
        </w:rPr>
        <w:t xml:space="preserve"> </w:t>
      </w:r>
      <w:r>
        <w:rPr>
          <w:rFonts w:ascii="仿宋" w:hAnsi="仿宋" w:eastAsia="仿宋" w:cs="仿宋"/>
          <w:spacing w:val="-1"/>
          <w:sz w:val="21"/>
          <w:szCs w:val="21"/>
        </w:rPr>
        <w:t>得分不得突破权重总额。定量指标</w:t>
      </w:r>
      <w:r>
        <w:rPr>
          <w:rFonts w:ascii="仿宋" w:hAnsi="仿宋" w:eastAsia="仿宋" w:cs="仿宋"/>
          <w:spacing w:val="-2"/>
          <w:sz w:val="21"/>
          <w:szCs w:val="21"/>
        </w:rPr>
        <w:t>先汇总完成数，再计算得分。</w:t>
      </w:r>
    </w:p>
    <w:p w14:paraId="1293DD60">
      <w:pPr>
        <w:spacing w:before="54" w:line="256" w:lineRule="auto"/>
        <w:ind w:left="164" w:right="179" w:firstLine="410"/>
        <w:rPr>
          <w:rFonts w:ascii="仿宋" w:hAnsi="仿宋" w:eastAsia="仿宋" w:cs="仿宋"/>
          <w:sz w:val="21"/>
          <w:szCs w:val="21"/>
        </w:rPr>
      </w:pPr>
      <w:r>
        <w:rPr>
          <w:rFonts w:ascii="仿宋" w:hAnsi="仿宋" w:eastAsia="仿宋" w:cs="仿宋"/>
          <w:sz w:val="21"/>
          <w:szCs w:val="21"/>
        </w:rPr>
        <w:t>3.定性指标计分原则：达成预期指标、部分达成预期指标并具有一定</w:t>
      </w:r>
      <w:r>
        <w:rPr>
          <w:rFonts w:ascii="仿宋" w:hAnsi="仿宋" w:eastAsia="仿宋" w:cs="仿宋"/>
          <w:spacing w:val="-1"/>
          <w:sz w:val="21"/>
          <w:szCs w:val="21"/>
        </w:rPr>
        <w:t>效果、未达成预期指</w:t>
      </w:r>
      <w:r>
        <w:rPr>
          <w:rFonts w:ascii="仿宋" w:hAnsi="仿宋" w:eastAsia="仿宋" w:cs="仿宋"/>
          <w:sz w:val="21"/>
          <w:szCs w:val="21"/>
        </w:rPr>
        <w:t xml:space="preserve"> </w:t>
      </w:r>
      <w:r>
        <w:rPr>
          <w:rFonts w:ascii="仿宋" w:hAnsi="仿宋" w:eastAsia="仿宋" w:cs="仿宋"/>
          <w:spacing w:val="4"/>
          <w:sz w:val="21"/>
          <w:szCs w:val="21"/>
        </w:rPr>
        <w:t>标且效果较差三档，分别按照该指标对应分值区间100-80%(含80</w:t>
      </w:r>
      <w:r>
        <w:rPr>
          <w:rFonts w:ascii="仿宋" w:hAnsi="仿宋" w:eastAsia="仿宋" w:cs="仿宋"/>
          <w:spacing w:val="3"/>
          <w:sz w:val="21"/>
          <w:szCs w:val="21"/>
        </w:rPr>
        <w:t>%)、80-50%(含50%)、50-0%</w:t>
      </w:r>
      <w:r>
        <w:rPr>
          <w:rFonts w:ascii="仿宋" w:hAnsi="仿宋" w:eastAsia="仿宋" w:cs="仿宋"/>
          <w:sz w:val="21"/>
          <w:szCs w:val="21"/>
        </w:rPr>
        <w:t xml:space="preserve"> </w:t>
      </w:r>
      <w:r>
        <w:rPr>
          <w:rFonts w:ascii="仿宋" w:hAnsi="仿宋" w:eastAsia="仿宋" w:cs="仿宋"/>
          <w:spacing w:val="-2"/>
          <w:sz w:val="21"/>
          <w:szCs w:val="21"/>
        </w:rPr>
        <w:t>合理确定分值。汇总时，以资金额度为权重，对分值进行加权平均计算。</w:t>
      </w:r>
    </w:p>
    <w:p w14:paraId="37FF5FE8">
      <w:pPr>
        <w:spacing w:before="58" w:line="220" w:lineRule="auto"/>
        <w:ind w:left="575"/>
        <w:rPr>
          <w:rFonts w:ascii="仿宋" w:hAnsi="仿宋" w:eastAsia="仿宋" w:cs="仿宋"/>
          <w:sz w:val="21"/>
          <w:szCs w:val="21"/>
        </w:rPr>
      </w:pPr>
      <w:r>
        <w:rPr>
          <w:rFonts w:ascii="仿宋" w:hAnsi="仿宋" w:eastAsia="仿宋" w:cs="仿宋"/>
          <w:spacing w:val="-1"/>
          <w:sz w:val="21"/>
          <w:szCs w:val="21"/>
        </w:rPr>
        <w:t>4.基于经济性和必要性等因素考虑，满意度指标暂</w:t>
      </w:r>
      <w:r>
        <w:rPr>
          <w:rFonts w:ascii="仿宋" w:hAnsi="仿宋" w:eastAsia="仿宋" w:cs="仿宋"/>
          <w:spacing w:val="-2"/>
          <w:sz w:val="21"/>
          <w:szCs w:val="21"/>
        </w:rPr>
        <w:t>可不作为必评指标。</w:t>
      </w:r>
    </w:p>
    <w:p w14:paraId="132F4ADA">
      <w:pPr>
        <w:spacing w:before="61" w:line="222" w:lineRule="auto"/>
        <w:ind w:left="575"/>
        <w:rPr>
          <w:rFonts w:ascii="仿宋" w:hAnsi="仿宋" w:eastAsia="仿宋" w:cs="仿宋"/>
          <w:sz w:val="21"/>
          <w:szCs w:val="21"/>
        </w:rPr>
      </w:pPr>
      <w:r>
        <w:rPr>
          <w:rFonts w:ascii="仿宋" w:hAnsi="仿宋" w:eastAsia="仿宋" w:cs="仿宋"/>
          <w:spacing w:val="-1"/>
          <w:sz w:val="21"/>
          <w:szCs w:val="21"/>
        </w:rPr>
        <w:t>5.涉及政府采购的项目支出应设置相关政府采购指标。</w:t>
      </w:r>
    </w:p>
    <w:p w14:paraId="2DB84C42">
      <w:pPr>
        <w:spacing w:before="56" w:line="219" w:lineRule="auto"/>
        <w:ind w:left="575"/>
        <w:rPr>
          <w:rFonts w:hint="eastAsia" w:ascii="仿宋" w:hAnsi="仿宋" w:eastAsia="仿宋" w:cs="仿宋"/>
          <w:spacing w:val="-1"/>
          <w:sz w:val="21"/>
          <w:szCs w:val="21"/>
          <w:lang w:val="en-US" w:eastAsia="zh-CN"/>
        </w:rPr>
      </w:pPr>
      <w:r>
        <w:rPr>
          <w:rFonts w:ascii="仿宋" w:hAnsi="仿宋" w:eastAsia="仿宋" w:cs="仿宋"/>
          <w:spacing w:val="-1"/>
          <w:sz w:val="21"/>
          <w:szCs w:val="21"/>
        </w:rPr>
        <w:t>6.本部门单位自评项目较多的亦可自行设计封面，请主要领导在封面上签字并加盖</w:t>
      </w:r>
      <w:r>
        <w:rPr>
          <w:rFonts w:hint="eastAsia" w:ascii="仿宋" w:hAnsi="仿宋" w:eastAsia="仿宋" w:cs="仿宋"/>
          <w:spacing w:val="-1"/>
          <w:sz w:val="21"/>
          <w:szCs w:val="21"/>
          <w:lang w:val="en-US" w:eastAsia="zh-CN"/>
        </w:rPr>
        <w:t>公章</w:t>
      </w:r>
    </w:p>
    <w:p w14:paraId="10AA5E89">
      <w:pPr>
        <w:numPr>
          <w:ilvl w:val="0"/>
          <w:numId w:val="0"/>
        </w:numPr>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drawing>
          <wp:inline distT="0" distB="0" distL="114300" distR="114300">
            <wp:extent cx="5320030" cy="12211685"/>
            <wp:effectExtent l="0" t="0" r="13970" b="10795"/>
            <wp:docPr id="11" name="图片 11" descr="微信图片_2023082211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822112514"/>
                    <pic:cNvPicPr>
                      <a:picLocks noChangeAspect="1"/>
                    </pic:cNvPicPr>
                  </pic:nvPicPr>
                  <pic:blipFill>
                    <a:blip r:embed="rId14"/>
                    <a:stretch>
                      <a:fillRect/>
                    </a:stretch>
                  </pic:blipFill>
                  <pic:spPr>
                    <a:xfrm>
                      <a:off x="0" y="0"/>
                      <a:ext cx="5320030" cy="12211685"/>
                    </a:xfrm>
                    <a:prstGeom prst="rect">
                      <a:avLst/>
                    </a:prstGeom>
                  </pic:spPr>
                </pic:pic>
              </a:graphicData>
            </a:graphic>
          </wp:inline>
        </w:drawing>
      </w:r>
    </w:p>
    <w:p w14:paraId="709F04FA">
      <w:pPr>
        <w:numPr>
          <w:ilvl w:val="0"/>
          <w:numId w:val="0"/>
        </w:numPr>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drawing>
          <wp:inline distT="0" distB="0" distL="114300" distR="114300">
            <wp:extent cx="5272405" cy="2381885"/>
            <wp:effectExtent l="0" t="0" r="635" b="10795"/>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15"/>
                    <a:stretch>
                      <a:fillRect/>
                    </a:stretch>
                  </pic:blipFill>
                  <pic:spPr>
                    <a:xfrm>
                      <a:off x="0" y="0"/>
                      <a:ext cx="5272405" cy="2381885"/>
                    </a:xfrm>
                    <a:prstGeom prst="rect">
                      <a:avLst/>
                    </a:prstGeom>
                  </pic:spPr>
                </pic:pic>
              </a:graphicData>
            </a:graphic>
          </wp:inline>
        </w:drawing>
      </w:r>
    </w:p>
    <w:p w14:paraId="53380931">
      <w:pPr>
        <w:numPr>
          <w:ilvl w:val="0"/>
          <w:numId w:val="0"/>
        </w:numPr>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p>
    <w:p w14:paraId="37177F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Style w:val="7"/>
          <w:rFonts w:hint="eastAsia" w:ascii="仿宋_GB2312" w:hAnsi="仿宋_GB2312" w:eastAsia="仿宋_GB2312" w:cs="仿宋_GB2312"/>
          <w:i w:val="0"/>
          <w:iCs w:val="0"/>
          <w:caps w:val="0"/>
          <w:color w:val="000000"/>
          <w:spacing w:val="0"/>
          <w:kern w:val="0"/>
          <w:sz w:val="32"/>
          <w:szCs w:val="32"/>
          <w:shd w:val="clear" w:fill="FFFFFF"/>
          <w:lang w:val="en-US" w:eastAsia="zh-CN" w:bidi="ar"/>
        </w:rPr>
        <w:t>第四部分、名词解释</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一、财政拨款收入：指财政部门当年拨付的资金。</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二、事业收入：指事业单位开展专业业务活动及辅助活动所取得的收入。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三、经营收入：指事业单位在专业业务活动及其辅助活动之外开展非独立核算经营活动取得的收入。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四、其他收入：指除上述“财政拨款收入”、“事业收入”、“经营收入”等以外的收入。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六、年初结转和结余：指以前年度尚未完成、结转到本年 按有关规定继续使用的资金。</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七、结余分配：指事业单位按规定提取的职工福利基金、事业基金和缴纳的所得税，以及建设单位按规定应交回的基本建设竣工项目结余资金。</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八、年末结转和结余：指本年度或以前年度预算安排、因客观条件发生变化无法按原计划实施，需要延迟到以后年度按有关规定继续使用的资金。</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九、基本支出：指为保障机构正常运转、完成日常工作任务而发生的人员支出和公用支出。</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十、项目支出：指在基本支出之外为完成特定行政任务和事业发展目标所发生的支出。</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十一、经营支出：指事业单位在专业业务活动及其辅助活动之外开展非独立核算经营活动发生的支出。</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14:paraId="451FF4F3">
      <w:pPr>
        <w:keepNext w:val="0"/>
        <w:keepLines w:val="0"/>
        <w:pageBreakBefore w:val="0"/>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BF4D6">
    <w:pPr>
      <w:spacing w:line="183" w:lineRule="auto"/>
      <w:ind w:left="4435"/>
      <w:rPr>
        <w:rFonts w:ascii="宋体" w:hAnsi="宋体" w:eastAsia="宋体" w:cs="宋体"/>
        <w:sz w:val="14"/>
        <w:szCs w:val="1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9BF8D"/>
    <w:multiLevelType w:val="singleLevel"/>
    <w:tmpl w:val="90D9BF8D"/>
    <w:lvl w:ilvl="0" w:tentative="0">
      <w:start w:val="1"/>
      <w:numFmt w:val="chineseCounting"/>
      <w:suff w:val="nothing"/>
      <w:lvlText w:val="（%1）"/>
      <w:lvlJc w:val="left"/>
      <w:pPr>
        <w:ind w:left="0" w:firstLine="420"/>
      </w:pPr>
      <w:rPr>
        <w:rFonts w:hint="eastAsia"/>
      </w:rPr>
    </w:lvl>
  </w:abstractNum>
  <w:abstractNum w:abstractNumId="1">
    <w:nsid w:val="DB63C5E4"/>
    <w:multiLevelType w:val="singleLevel"/>
    <w:tmpl w:val="DB63C5E4"/>
    <w:lvl w:ilvl="0" w:tentative="0">
      <w:start w:val="1"/>
      <w:numFmt w:val="chineseCounting"/>
      <w:suff w:val="nothing"/>
      <w:lvlText w:val="%1、"/>
      <w:lvlJc w:val="left"/>
      <w:rPr>
        <w:rFonts w:hint="eastAsia"/>
      </w:rPr>
    </w:lvl>
  </w:abstractNum>
  <w:abstractNum w:abstractNumId="2">
    <w:nsid w:val="4FAEA553"/>
    <w:multiLevelType w:val="singleLevel"/>
    <w:tmpl w:val="4FAEA553"/>
    <w:lvl w:ilvl="0" w:tentative="0">
      <w:start w:val="5"/>
      <w:numFmt w:val="chineseCounting"/>
      <w:suff w:val="nothing"/>
      <w:lvlText w:val="%1、"/>
      <w:lvlJc w:val="left"/>
      <w:rPr>
        <w:rFonts w:hint="eastAsia" w:ascii="黑体" w:hAnsi="黑体" w:eastAsia="黑体" w:cs="黑体"/>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TNiZDBjZTM1MGRlZTc4MzMyYzFhNWQ0ZDZiMjYifQ=="/>
  </w:docVars>
  <w:rsids>
    <w:rsidRoot w:val="00000000"/>
    <w:rsid w:val="00032A5A"/>
    <w:rsid w:val="00044EF2"/>
    <w:rsid w:val="00B53219"/>
    <w:rsid w:val="00FC02BF"/>
    <w:rsid w:val="01277135"/>
    <w:rsid w:val="01527EDF"/>
    <w:rsid w:val="017936BE"/>
    <w:rsid w:val="01AE74D5"/>
    <w:rsid w:val="01E758CF"/>
    <w:rsid w:val="01E90844"/>
    <w:rsid w:val="020F040F"/>
    <w:rsid w:val="02E00F51"/>
    <w:rsid w:val="02EF1E8A"/>
    <w:rsid w:val="03600692"/>
    <w:rsid w:val="03695783"/>
    <w:rsid w:val="03AF31FD"/>
    <w:rsid w:val="03C50E3C"/>
    <w:rsid w:val="043D4E77"/>
    <w:rsid w:val="04E14131"/>
    <w:rsid w:val="058E661C"/>
    <w:rsid w:val="05A038E6"/>
    <w:rsid w:val="05EE467B"/>
    <w:rsid w:val="065632AA"/>
    <w:rsid w:val="077B0190"/>
    <w:rsid w:val="07FC2953"/>
    <w:rsid w:val="07FE2B6F"/>
    <w:rsid w:val="0804427D"/>
    <w:rsid w:val="08400A92"/>
    <w:rsid w:val="08404F36"/>
    <w:rsid w:val="086803E8"/>
    <w:rsid w:val="0878647D"/>
    <w:rsid w:val="0891753F"/>
    <w:rsid w:val="08D613F6"/>
    <w:rsid w:val="094933C2"/>
    <w:rsid w:val="098134C1"/>
    <w:rsid w:val="09F14739"/>
    <w:rsid w:val="0A726EFC"/>
    <w:rsid w:val="0AD007F3"/>
    <w:rsid w:val="0B36140E"/>
    <w:rsid w:val="0B436BBC"/>
    <w:rsid w:val="0C2D757F"/>
    <w:rsid w:val="0C50326D"/>
    <w:rsid w:val="0C696644"/>
    <w:rsid w:val="0CAA6E21"/>
    <w:rsid w:val="0CEE6D0E"/>
    <w:rsid w:val="0D5D5C42"/>
    <w:rsid w:val="0D725B91"/>
    <w:rsid w:val="0DB37FB6"/>
    <w:rsid w:val="0E0E6537"/>
    <w:rsid w:val="0E520A97"/>
    <w:rsid w:val="0F60307D"/>
    <w:rsid w:val="0F921BDA"/>
    <w:rsid w:val="0F9C6EF5"/>
    <w:rsid w:val="10374E70"/>
    <w:rsid w:val="1091537A"/>
    <w:rsid w:val="10DC3F25"/>
    <w:rsid w:val="111B7697"/>
    <w:rsid w:val="11741570"/>
    <w:rsid w:val="11AD363C"/>
    <w:rsid w:val="11BC010C"/>
    <w:rsid w:val="11C75F45"/>
    <w:rsid w:val="11CC783A"/>
    <w:rsid w:val="120934CE"/>
    <w:rsid w:val="12391460"/>
    <w:rsid w:val="124473D0"/>
    <w:rsid w:val="12B05B7F"/>
    <w:rsid w:val="134358DA"/>
    <w:rsid w:val="138D46D1"/>
    <w:rsid w:val="13B642FE"/>
    <w:rsid w:val="13E2616E"/>
    <w:rsid w:val="14333BA0"/>
    <w:rsid w:val="14DE7BE6"/>
    <w:rsid w:val="14E2788C"/>
    <w:rsid w:val="153E45AB"/>
    <w:rsid w:val="158E5532"/>
    <w:rsid w:val="15F6244D"/>
    <w:rsid w:val="167F131F"/>
    <w:rsid w:val="16900E36"/>
    <w:rsid w:val="17147CB9"/>
    <w:rsid w:val="17582776"/>
    <w:rsid w:val="17887D5F"/>
    <w:rsid w:val="182C7C52"/>
    <w:rsid w:val="1867206B"/>
    <w:rsid w:val="187F1162"/>
    <w:rsid w:val="18A961DF"/>
    <w:rsid w:val="18CF0D54"/>
    <w:rsid w:val="18E54327"/>
    <w:rsid w:val="194859F8"/>
    <w:rsid w:val="19651E83"/>
    <w:rsid w:val="198F7ACB"/>
    <w:rsid w:val="19EE47F1"/>
    <w:rsid w:val="1A75011D"/>
    <w:rsid w:val="1B083691"/>
    <w:rsid w:val="1B3A07E9"/>
    <w:rsid w:val="1BC11A92"/>
    <w:rsid w:val="1C136791"/>
    <w:rsid w:val="1C4526C3"/>
    <w:rsid w:val="1C744B38"/>
    <w:rsid w:val="1CA473E9"/>
    <w:rsid w:val="1CF06118"/>
    <w:rsid w:val="1D222EAF"/>
    <w:rsid w:val="1DDD4B47"/>
    <w:rsid w:val="1E22472F"/>
    <w:rsid w:val="1E80442A"/>
    <w:rsid w:val="1E8F40C9"/>
    <w:rsid w:val="1EB27F3B"/>
    <w:rsid w:val="1ED02286"/>
    <w:rsid w:val="1F694ECC"/>
    <w:rsid w:val="1F86727A"/>
    <w:rsid w:val="1FD9081E"/>
    <w:rsid w:val="217557F8"/>
    <w:rsid w:val="219B3B11"/>
    <w:rsid w:val="21BA320B"/>
    <w:rsid w:val="21BE0F4D"/>
    <w:rsid w:val="21C422DC"/>
    <w:rsid w:val="22394A78"/>
    <w:rsid w:val="22A16179"/>
    <w:rsid w:val="237A0EA4"/>
    <w:rsid w:val="23F35DFD"/>
    <w:rsid w:val="23FF2E24"/>
    <w:rsid w:val="240E2749"/>
    <w:rsid w:val="24101808"/>
    <w:rsid w:val="246062EC"/>
    <w:rsid w:val="24A1412C"/>
    <w:rsid w:val="24B44889"/>
    <w:rsid w:val="25965D3D"/>
    <w:rsid w:val="25A71CF8"/>
    <w:rsid w:val="260E1D77"/>
    <w:rsid w:val="26126A85"/>
    <w:rsid w:val="26C568DA"/>
    <w:rsid w:val="26EC030B"/>
    <w:rsid w:val="27206206"/>
    <w:rsid w:val="27565784"/>
    <w:rsid w:val="276B0072"/>
    <w:rsid w:val="279B3ADF"/>
    <w:rsid w:val="27A110F5"/>
    <w:rsid w:val="27A91D58"/>
    <w:rsid w:val="27C43035"/>
    <w:rsid w:val="282F380E"/>
    <w:rsid w:val="285D2B42"/>
    <w:rsid w:val="289E0862"/>
    <w:rsid w:val="2A500BB0"/>
    <w:rsid w:val="2A6D4BE6"/>
    <w:rsid w:val="2B125E66"/>
    <w:rsid w:val="2B570FA2"/>
    <w:rsid w:val="2C1300E8"/>
    <w:rsid w:val="2C136339"/>
    <w:rsid w:val="2C4F5173"/>
    <w:rsid w:val="2CA331F7"/>
    <w:rsid w:val="2D483DC1"/>
    <w:rsid w:val="2D561006"/>
    <w:rsid w:val="2DC56A2F"/>
    <w:rsid w:val="2E0F48DF"/>
    <w:rsid w:val="2E2A34C6"/>
    <w:rsid w:val="2E9848D4"/>
    <w:rsid w:val="2E9F5C62"/>
    <w:rsid w:val="2EC211AD"/>
    <w:rsid w:val="2F0F4AC5"/>
    <w:rsid w:val="2F7B66D0"/>
    <w:rsid w:val="2FD40E83"/>
    <w:rsid w:val="310A7384"/>
    <w:rsid w:val="31A11C7A"/>
    <w:rsid w:val="31B447D1"/>
    <w:rsid w:val="31F343E9"/>
    <w:rsid w:val="324803BF"/>
    <w:rsid w:val="32A72FD7"/>
    <w:rsid w:val="32B02B9E"/>
    <w:rsid w:val="32B45D74"/>
    <w:rsid w:val="32D0288E"/>
    <w:rsid w:val="32D42E16"/>
    <w:rsid w:val="332E3A59"/>
    <w:rsid w:val="334B63B9"/>
    <w:rsid w:val="335A25BE"/>
    <w:rsid w:val="33E16D1D"/>
    <w:rsid w:val="341D3232"/>
    <w:rsid w:val="342E2163"/>
    <w:rsid w:val="34BF0E0C"/>
    <w:rsid w:val="359318CF"/>
    <w:rsid w:val="35A16764"/>
    <w:rsid w:val="3655577A"/>
    <w:rsid w:val="36770937"/>
    <w:rsid w:val="37307DA0"/>
    <w:rsid w:val="37492C0F"/>
    <w:rsid w:val="37623CD1"/>
    <w:rsid w:val="37C309D9"/>
    <w:rsid w:val="37D01583"/>
    <w:rsid w:val="3803245B"/>
    <w:rsid w:val="38145312"/>
    <w:rsid w:val="38464922"/>
    <w:rsid w:val="384F4255"/>
    <w:rsid w:val="389B56ED"/>
    <w:rsid w:val="38A01D63"/>
    <w:rsid w:val="38A65E3F"/>
    <w:rsid w:val="39286F71"/>
    <w:rsid w:val="3A054634"/>
    <w:rsid w:val="3A5C534F"/>
    <w:rsid w:val="3A6164C2"/>
    <w:rsid w:val="3B3616FD"/>
    <w:rsid w:val="3B6605AD"/>
    <w:rsid w:val="3BD11425"/>
    <w:rsid w:val="3BF05D4F"/>
    <w:rsid w:val="3C371BD0"/>
    <w:rsid w:val="3C5502A8"/>
    <w:rsid w:val="3C8A1D00"/>
    <w:rsid w:val="3CCF1E09"/>
    <w:rsid w:val="3D1F3FEC"/>
    <w:rsid w:val="3D9077EA"/>
    <w:rsid w:val="3ED731F7"/>
    <w:rsid w:val="3F710F55"/>
    <w:rsid w:val="406D1237"/>
    <w:rsid w:val="414A4154"/>
    <w:rsid w:val="41DE664A"/>
    <w:rsid w:val="422F6EA6"/>
    <w:rsid w:val="42BC2E2F"/>
    <w:rsid w:val="440E1469"/>
    <w:rsid w:val="451707F1"/>
    <w:rsid w:val="456A0921"/>
    <w:rsid w:val="46027639"/>
    <w:rsid w:val="460C5E7C"/>
    <w:rsid w:val="462F3918"/>
    <w:rsid w:val="469330D2"/>
    <w:rsid w:val="46AC7820"/>
    <w:rsid w:val="46CE1383"/>
    <w:rsid w:val="46DB47D6"/>
    <w:rsid w:val="4729480B"/>
    <w:rsid w:val="47AD4A02"/>
    <w:rsid w:val="48E8528E"/>
    <w:rsid w:val="4945737C"/>
    <w:rsid w:val="496057BE"/>
    <w:rsid w:val="4961203A"/>
    <w:rsid w:val="49A83701"/>
    <w:rsid w:val="49C20652"/>
    <w:rsid w:val="4A1B668D"/>
    <w:rsid w:val="4A203CA4"/>
    <w:rsid w:val="4A4C4A99"/>
    <w:rsid w:val="4AF56EDE"/>
    <w:rsid w:val="4B5E0F27"/>
    <w:rsid w:val="4BDB7219"/>
    <w:rsid w:val="4BF84389"/>
    <w:rsid w:val="4C111B2F"/>
    <w:rsid w:val="4C602A7D"/>
    <w:rsid w:val="4C862F05"/>
    <w:rsid w:val="4CAC181F"/>
    <w:rsid w:val="4CF136D5"/>
    <w:rsid w:val="4CFB4554"/>
    <w:rsid w:val="4D3B0DF4"/>
    <w:rsid w:val="4D8B3376"/>
    <w:rsid w:val="4E4D5283"/>
    <w:rsid w:val="4E91250F"/>
    <w:rsid w:val="4EAD79BF"/>
    <w:rsid w:val="4F4E12B3"/>
    <w:rsid w:val="4FB21842"/>
    <w:rsid w:val="4FCE3A09"/>
    <w:rsid w:val="50B871F8"/>
    <w:rsid w:val="50E63DF6"/>
    <w:rsid w:val="5115563D"/>
    <w:rsid w:val="522037C5"/>
    <w:rsid w:val="52451811"/>
    <w:rsid w:val="529A3CEF"/>
    <w:rsid w:val="52DF51FC"/>
    <w:rsid w:val="541303D5"/>
    <w:rsid w:val="54AC059B"/>
    <w:rsid w:val="54B73456"/>
    <w:rsid w:val="54C87412"/>
    <w:rsid w:val="5523289A"/>
    <w:rsid w:val="553F7AEC"/>
    <w:rsid w:val="56BB5CBB"/>
    <w:rsid w:val="574C1A20"/>
    <w:rsid w:val="57A23F4A"/>
    <w:rsid w:val="57AE09B5"/>
    <w:rsid w:val="57D305A7"/>
    <w:rsid w:val="57D8609A"/>
    <w:rsid w:val="58112E7E"/>
    <w:rsid w:val="5876482D"/>
    <w:rsid w:val="58903304"/>
    <w:rsid w:val="5897543F"/>
    <w:rsid w:val="58B303D9"/>
    <w:rsid w:val="59050C34"/>
    <w:rsid w:val="59260BAB"/>
    <w:rsid w:val="59AA5338"/>
    <w:rsid w:val="59F359C5"/>
    <w:rsid w:val="5A0709DC"/>
    <w:rsid w:val="5A322D81"/>
    <w:rsid w:val="5AD3266C"/>
    <w:rsid w:val="5AD9778A"/>
    <w:rsid w:val="5B4D0671"/>
    <w:rsid w:val="5C891B7C"/>
    <w:rsid w:val="5CC34224"/>
    <w:rsid w:val="5D261179"/>
    <w:rsid w:val="5D45435C"/>
    <w:rsid w:val="5EA76D8A"/>
    <w:rsid w:val="5ED30574"/>
    <w:rsid w:val="5EFD5F0A"/>
    <w:rsid w:val="5F8C3230"/>
    <w:rsid w:val="60255718"/>
    <w:rsid w:val="612C6D8A"/>
    <w:rsid w:val="612E2CF2"/>
    <w:rsid w:val="617521D5"/>
    <w:rsid w:val="62210161"/>
    <w:rsid w:val="62685D90"/>
    <w:rsid w:val="62E62F4B"/>
    <w:rsid w:val="63600F21"/>
    <w:rsid w:val="63B3395D"/>
    <w:rsid w:val="64C569B1"/>
    <w:rsid w:val="64F102BF"/>
    <w:rsid w:val="6525440C"/>
    <w:rsid w:val="65F04A1A"/>
    <w:rsid w:val="65FF4670"/>
    <w:rsid w:val="660E2FCF"/>
    <w:rsid w:val="66460B4F"/>
    <w:rsid w:val="6692162D"/>
    <w:rsid w:val="670F0ED0"/>
    <w:rsid w:val="675A65EF"/>
    <w:rsid w:val="67931B01"/>
    <w:rsid w:val="67D6379C"/>
    <w:rsid w:val="67EA2AF6"/>
    <w:rsid w:val="68171BE1"/>
    <w:rsid w:val="6818724D"/>
    <w:rsid w:val="68694610"/>
    <w:rsid w:val="688B3EC3"/>
    <w:rsid w:val="688D19A9"/>
    <w:rsid w:val="68957D56"/>
    <w:rsid w:val="68E36170"/>
    <w:rsid w:val="68E65C61"/>
    <w:rsid w:val="6A2718E2"/>
    <w:rsid w:val="6A44338D"/>
    <w:rsid w:val="6A9F256B"/>
    <w:rsid w:val="6AB04778"/>
    <w:rsid w:val="6AFF693E"/>
    <w:rsid w:val="6B3D57A6"/>
    <w:rsid w:val="6B911FEC"/>
    <w:rsid w:val="6BC95AF1"/>
    <w:rsid w:val="6CDF009C"/>
    <w:rsid w:val="6CFC5E2E"/>
    <w:rsid w:val="6D1C4347"/>
    <w:rsid w:val="6D320D22"/>
    <w:rsid w:val="6D9D532F"/>
    <w:rsid w:val="6E2A2A23"/>
    <w:rsid w:val="6E4678CD"/>
    <w:rsid w:val="6E9C1100"/>
    <w:rsid w:val="6F5E0C47"/>
    <w:rsid w:val="6FD24AF2"/>
    <w:rsid w:val="701E111D"/>
    <w:rsid w:val="706474AA"/>
    <w:rsid w:val="70832B2E"/>
    <w:rsid w:val="70F80C27"/>
    <w:rsid w:val="71685DAD"/>
    <w:rsid w:val="71EF202A"/>
    <w:rsid w:val="71F3440D"/>
    <w:rsid w:val="72096764"/>
    <w:rsid w:val="726F6CC7"/>
    <w:rsid w:val="729416EF"/>
    <w:rsid w:val="7298763E"/>
    <w:rsid w:val="72A1350F"/>
    <w:rsid w:val="72C94EF4"/>
    <w:rsid w:val="73134D9A"/>
    <w:rsid w:val="73406582"/>
    <w:rsid w:val="73CB6307"/>
    <w:rsid w:val="73DC038C"/>
    <w:rsid w:val="73DF45AA"/>
    <w:rsid w:val="740D2C3B"/>
    <w:rsid w:val="74DF1EE2"/>
    <w:rsid w:val="74F07DB4"/>
    <w:rsid w:val="75662603"/>
    <w:rsid w:val="75F052FA"/>
    <w:rsid w:val="765E32DA"/>
    <w:rsid w:val="76CA5861"/>
    <w:rsid w:val="76E63031"/>
    <w:rsid w:val="7726078D"/>
    <w:rsid w:val="778B45A3"/>
    <w:rsid w:val="780F5E0D"/>
    <w:rsid w:val="786F0168"/>
    <w:rsid w:val="794460B9"/>
    <w:rsid w:val="797B2103"/>
    <w:rsid w:val="79BF22E2"/>
    <w:rsid w:val="79FD2E0A"/>
    <w:rsid w:val="7A1160FF"/>
    <w:rsid w:val="7A707A80"/>
    <w:rsid w:val="7AA8546C"/>
    <w:rsid w:val="7B545496"/>
    <w:rsid w:val="7B98103C"/>
    <w:rsid w:val="7B9D2AF7"/>
    <w:rsid w:val="7BA21EBB"/>
    <w:rsid w:val="7CE95EED"/>
    <w:rsid w:val="7CEF376C"/>
    <w:rsid w:val="7DDD5996"/>
    <w:rsid w:val="7DF75804"/>
    <w:rsid w:val="7E2C45E3"/>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5382</Words>
  <Characters>6006</Characters>
  <Lines>0</Lines>
  <Paragraphs>0</Paragraphs>
  <TotalTime>3</TotalTime>
  <ScaleCrop>false</ScaleCrop>
  <LinksUpToDate>false</LinksUpToDate>
  <CharactersWithSpaces>6230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2022-09-23T03:28:00Z</dcterms:created>
  <dc:creator>Administrator</dc:creator>
  <cp:lastModifiedBy>时间的尽头</cp:lastModifiedBy>
  <cp:lastPrinted>2023-07-24T07:50:00Z</cp:lastPrinted>
  <dcterms:modified xsi:type="dcterms:W3CDTF">2025-02-27T01:27:02Z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6DA79AD43FC44AE7B17F28A992C87C2A_13</vt:lpwstr>
  </property>
  <property fmtid="{D5CDD505-2E9C-101B-9397-08002B2CF9AE}" pid="4" name="KSOTemplateDocerSaveRecord">
    <vt:lpwstr>eyJoZGlkIjoiOTc4OTdhNTgyZmEzODBmNjY4YjAzM2FjZjRjYmE5ZDgiLCJ1c2VySWQiOiI1NTk0Mjk4NTAifQ==</vt:lpwstr>
  </property>
</Properties>
</file>