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default" w:ascii="Arial" w:hAnsi="Arial" w:cs="Arial"/>
          <w:i w:val="0"/>
          <w:iCs w:val="0"/>
          <w:caps w:val="0"/>
          <w:color w:val="222222"/>
          <w:spacing w:val="0"/>
        </w:rPr>
      </w:pPr>
      <w:r>
        <w:rPr>
          <w:rFonts w:hint="default" w:ascii="Arial" w:hAnsi="Arial" w:cs="Arial"/>
          <w:i w:val="0"/>
          <w:iCs w:val="0"/>
          <w:caps w:val="0"/>
          <w:color w:val="222222"/>
          <w:spacing w:val="0"/>
        </w:rPr>
        <w:t>长乐山工业园2021年度部门决算</w:t>
      </w:r>
    </w:p>
    <w:p>
      <w:pPr>
        <w:pStyle w:val="2"/>
        <w:keepNext w:val="0"/>
        <w:keepLines w:val="0"/>
        <w:widowControl/>
        <w:suppressLineNumbers w:val="0"/>
        <w:ind w:left="0" w:firstLine="0"/>
        <w:jc w:val="center"/>
        <w:rPr>
          <w:rFonts w:ascii="Arial" w:hAnsi="Arial" w:cs="Arial"/>
          <w:i w:val="0"/>
          <w:iCs w:val="0"/>
          <w:caps w:val="0"/>
          <w:color w:val="222222"/>
          <w:spacing w:val="0"/>
        </w:rPr>
      </w:pPr>
      <w:r>
        <w:rPr>
          <w:rFonts w:hint="default" w:ascii="Arial" w:hAnsi="Arial" w:cs="Arial"/>
          <w:i w:val="0"/>
          <w:iCs w:val="0"/>
          <w:caps w:val="0"/>
          <w:color w:val="222222"/>
          <w:spacing w:val="0"/>
        </w:rPr>
        <w:t>公开说明</w:t>
      </w:r>
    </w:p>
    <w:p>
      <w:pPr>
        <w:keepNext w:val="0"/>
        <w:keepLines w:val="0"/>
        <w:widowControl/>
        <w:suppressLineNumbers w:val="0"/>
        <w:ind w:left="0" w:firstLine="0"/>
        <w:jc w:val="left"/>
        <w:rPr>
          <w:rFonts w:hint="default" w:ascii="Arial" w:hAnsi="Arial" w:cs="Arial"/>
          <w:i w:val="0"/>
          <w:iCs w:val="0"/>
          <w:caps w:val="0"/>
          <w:color w:val="222222"/>
          <w:spacing w:val="0"/>
          <w:sz w:val="12"/>
          <w:szCs w:val="12"/>
        </w:rPr>
      </w:pPr>
    </w:p>
    <w:p>
      <w:pPr>
        <w:pStyle w:val="3"/>
        <w:keepNext w:val="0"/>
        <w:keepLines w:val="0"/>
        <w:widowControl/>
        <w:suppressLineNumbers w:val="0"/>
        <w:ind w:left="0" w:firstLine="0"/>
        <w:jc w:val="center"/>
        <w:rPr>
          <w:rFonts w:hint="default" w:ascii="Arial" w:hAnsi="Arial" w:cs="Arial"/>
          <w:i w:val="0"/>
          <w:iCs w:val="0"/>
          <w:caps w:val="0"/>
          <w:color w:val="222222"/>
          <w:spacing w:val="0"/>
          <w:sz w:val="36"/>
          <w:szCs w:val="36"/>
        </w:rPr>
      </w:pPr>
      <w:r>
        <w:rPr>
          <w:rFonts w:hint="default" w:ascii="Arial" w:hAnsi="Arial" w:cs="Arial"/>
          <w:i w:val="0"/>
          <w:iCs w:val="0"/>
          <w:caps w:val="0"/>
          <w:color w:val="222222"/>
          <w:spacing w:val="0"/>
        </w:rPr>
        <w:t> </w:t>
      </w:r>
      <w:r>
        <w:rPr>
          <w:rFonts w:hint="default" w:ascii="Arial" w:hAnsi="Arial" w:cs="Arial"/>
          <w:i w:val="0"/>
          <w:iCs w:val="0"/>
          <w:caps w:val="0"/>
          <w:color w:val="222222"/>
          <w:spacing w:val="0"/>
          <w:sz w:val="36"/>
          <w:szCs w:val="36"/>
        </w:rPr>
        <w:t>目  录</w:t>
      </w:r>
    </w:p>
    <w:p>
      <w:pPr>
        <w:keepNext w:val="0"/>
        <w:keepLines w:val="0"/>
        <w:widowControl/>
        <w:suppressLineNumbers w:val="0"/>
        <w:ind w:left="0" w:firstLine="0"/>
        <w:jc w:val="left"/>
        <w:rPr>
          <w:rFonts w:hint="default" w:ascii="Arial" w:hAnsi="Arial" w:cs="Arial"/>
          <w:i w:val="0"/>
          <w:iCs w:val="0"/>
          <w:caps w:val="0"/>
          <w:color w:val="222222"/>
          <w:spacing w:val="0"/>
          <w:sz w:val="12"/>
          <w:szCs w:val="12"/>
        </w:rPr>
      </w:pPr>
    </w:p>
    <w:p>
      <w:pPr>
        <w:pStyle w:val="5"/>
        <w:keepNext w:val="0"/>
        <w:keepLines w:val="0"/>
        <w:widowControl/>
        <w:suppressLineNumbers w:val="0"/>
        <w:spacing w:after="240" w:afterAutospacing="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rPr>
        <w:br w:type="textWrapping"/>
      </w:r>
      <w:r>
        <w:rPr>
          <w:rFonts w:hint="default" w:ascii="Arial" w:hAnsi="Arial" w:cs="Arial"/>
          <w:i w:val="0"/>
          <w:iCs w:val="0"/>
          <w:caps w:val="0"/>
          <w:color w:val="222222"/>
          <w:spacing w:val="0"/>
          <w:sz w:val="30"/>
          <w:szCs w:val="30"/>
        </w:rPr>
        <w:t>一、部门主要职责</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二、部门机构设置情况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三、2021年度部门决算情况说明</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（一）收支决算的总体情况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（二）决算收入增减变化情况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（三）决算支出增减变化情况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（四）财政拨款收入支出决算情况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（五）一般公共预算财政拨款支出、基本支出决算情况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（六）“三公”经费支出情况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（七）机关运行经费支出情况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（八）政府采购支出情况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（九）国有资产占用情况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（十）其他情况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四、2021年度预算绩效情况的说明</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（一）预算绩效管理工作开展情况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（二）部门决算中项目绩效自评结果</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（三）绩效评级结果应用情况</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五、名词解释</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六、部门2021年部门决算表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（一）收入支出决算总表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（二）收入决算表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（三）支出决算表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（四）财政拨款收入支出决算总表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（五）一般公共预算财政拨款支出决算表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（六）一般公共预算财政拨款基本支出决算表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（七）一般公共预算财政拨款“三公”经费支出决算表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（八）政府性基金预算财政拨款收入支出决算表</w:t>
      </w:r>
      <w:r>
        <w:rPr>
          <w:rFonts w:hint="default" w:ascii="Arial" w:hAnsi="Arial" w:cs="Arial"/>
          <w:i w:val="0"/>
          <w:iCs w:val="0"/>
          <w:caps w:val="0"/>
          <w:color w:val="222222"/>
          <w:spacing w:val="0"/>
          <w:sz w:val="30"/>
          <w:szCs w:val="30"/>
        </w:rPr>
        <w:br w:type="textWrapping"/>
      </w:r>
      <w:r>
        <w:rPr>
          <w:rFonts w:hint="default" w:ascii="Arial" w:hAnsi="Arial" w:cs="Arial"/>
          <w:i w:val="0"/>
          <w:iCs w:val="0"/>
          <w:caps w:val="0"/>
          <w:color w:val="222222"/>
          <w:spacing w:val="0"/>
          <w:sz w:val="30"/>
          <w:szCs w:val="30"/>
        </w:rPr>
        <w:t>（九）国有资本经营预算财政拨款支出决算表</w:t>
      </w:r>
    </w:p>
    <w:p>
      <w:pPr>
        <w:keepNext w:val="0"/>
        <w:keepLines w:val="0"/>
        <w:widowControl/>
        <w:suppressLineNumbers w:val="0"/>
        <w:spacing w:after="120" w:afterAutospacing="0"/>
        <w:ind w:left="0" w:firstLine="0"/>
        <w:jc w:val="left"/>
        <w:rPr>
          <w:rFonts w:hint="default" w:ascii="Arial" w:hAnsi="Arial" w:cs="Arial"/>
          <w:i w:val="0"/>
          <w:iCs w:val="0"/>
          <w:caps w:val="0"/>
          <w:color w:val="222222"/>
          <w:spacing w:val="0"/>
        </w:rPr>
      </w:pPr>
    </w:p>
    <w:p>
      <w:pPr>
        <w:pStyle w:val="2"/>
        <w:keepNext w:val="0"/>
        <w:keepLines w:val="0"/>
        <w:widowControl/>
        <w:suppressLineNumbers w:val="0"/>
        <w:ind w:left="0" w:firstLine="0"/>
        <w:jc w:val="center"/>
        <w:rPr>
          <w:rFonts w:hint="default" w:ascii="Arial" w:hAnsi="Arial" w:cs="Arial"/>
          <w:i w:val="0"/>
          <w:iCs w:val="0"/>
          <w:caps w:val="0"/>
          <w:color w:val="222222"/>
          <w:spacing w:val="0"/>
        </w:rPr>
      </w:pPr>
      <w:r>
        <w:rPr>
          <w:rFonts w:hint="default" w:ascii="Arial" w:hAnsi="Arial" w:cs="Arial"/>
          <w:i w:val="0"/>
          <w:iCs w:val="0"/>
          <w:caps w:val="0"/>
          <w:color w:val="222222"/>
          <w:spacing w:val="0"/>
        </w:rPr>
        <w:t>长乐山工业园2021年度部门决算</w:t>
      </w:r>
    </w:p>
    <w:p>
      <w:pPr>
        <w:pStyle w:val="2"/>
        <w:keepNext w:val="0"/>
        <w:keepLines w:val="0"/>
        <w:widowControl/>
        <w:suppressLineNumbers w:val="0"/>
        <w:ind w:left="0" w:firstLine="0"/>
        <w:jc w:val="center"/>
        <w:rPr>
          <w:rFonts w:hint="default" w:ascii="Arial" w:hAnsi="Arial" w:cs="Arial"/>
          <w:i w:val="0"/>
          <w:iCs w:val="0"/>
          <w:caps w:val="0"/>
          <w:color w:val="222222"/>
          <w:spacing w:val="0"/>
        </w:rPr>
      </w:pPr>
      <w:r>
        <w:rPr>
          <w:rFonts w:hint="default" w:ascii="Arial" w:hAnsi="Arial" w:cs="Arial"/>
          <w:i w:val="0"/>
          <w:iCs w:val="0"/>
          <w:caps w:val="0"/>
          <w:color w:val="222222"/>
          <w:spacing w:val="0"/>
        </w:rPr>
        <w:t>公开说明</w:t>
      </w:r>
    </w:p>
    <w:p>
      <w:pPr>
        <w:keepNext w:val="0"/>
        <w:keepLines w:val="0"/>
        <w:widowControl/>
        <w:suppressLineNumbers w:val="0"/>
        <w:spacing w:after="120" w:afterAutospacing="0"/>
        <w:ind w:left="0" w:firstLine="0"/>
        <w:jc w:val="left"/>
        <w:rPr>
          <w:rFonts w:hint="default" w:ascii="Arial" w:hAnsi="Arial" w:cs="Arial"/>
          <w:i w:val="0"/>
          <w:iCs w:val="0"/>
          <w:caps w:val="0"/>
          <w:color w:val="222222"/>
          <w:spacing w:val="0"/>
          <w:sz w:val="12"/>
          <w:szCs w:val="12"/>
        </w:rPr>
      </w:pPr>
      <w:r>
        <w:rPr>
          <w:rFonts w:hint="default" w:ascii="Arial" w:hAnsi="Arial" w:eastAsia="宋体" w:cs="Arial"/>
          <w:i w:val="0"/>
          <w:iCs w:val="0"/>
          <w:caps w:val="0"/>
          <w:color w:val="222222"/>
          <w:spacing w:val="0"/>
          <w:kern w:val="0"/>
          <w:sz w:val="12"/>
          <w:szCs w:val="12"/>
          <w:lang w:val="en-US" w:eastAsia="zh-CN" w:bidi="ar"/>
        </w:rPr>
        <w:t> </w:t>
      </w:r>
    </w:p>
    <w:p>
      <w:pPr>
        <w:pStyle w:val="3"/>
        <w:keepNext w:val="0"/>
        <w:keepLines w:val="0"/>
        <w:widowControl/>
        <w:suppressLineNumbers w:val="0"/>
        <w:ind w:left="0" w:firstLine="0"/>
        <w:rPr>
          <w:rFonts w:hint="default" w:ascii="Arial" w:hAnsi="Arial" w:cs="Arial"/>
          <w:i w:val="0"/>
          <w:iCs w:val="0"/>
          <w:caps w:val="0"/>
          <w:color w:val="222222"/>
          <w:spacing w:val="0"/>
        </w:rPr>
      </w:pPr>
      <w:r>
        <w:rPr>
          <w:rStyle w:val="8"/>
          <w:rFonts w:hint="default" w:ascii="Arial" w:hAnsi="Arial" w:cs="Arial"/>
          <w:b/>
          <w:i w:val="0"/>
          <w:iCs w:val="0"/>
          <w:caps w:val="0"/>
          <w:color w:val="222222"/>
          <w:spacing w:val="0"/>
        </w:rPr>
        <w:t>一、</w:t>
      </w:r>
      <w:r>
        <w:rPr>
          <w:rFonts w:hint="default" w:ascii="Arial" w:hAnsi="Arial" w:cs="Arial"/>
          <w:i w:val="0"/>
          <w:iCs w:val="0"/>
          <w:caps w:val="0"/>
          <w:color w:val="222222"/>
          <w:spacing w:val="0"/>
        </w:rPr>
        <w:t>部门职责</w:t>
      </w:r>
    </w:p>
    <w:p>
      <w:pPr>
        <w:keepNext w:val="0"/>
        <w:keepLines w:val="0"/>
        <w:widowControl/>
        <w:suppressLineNumbers w:val="0"/>
        <w:ind w:left="0" w:firstLine="0"/>
        <w:jc w:val="left"/>
        <w:rPr>
          <w:rFonts w:hint="default" w:ascii="Arial" w:hAnsi="Arial" w:cs="Arial"/>
          <w:i w:val="0"/>
          <w:iCs w:val="0"/>
          <w:caps w:val="0"/>
          <w:color w:val="222222"/>
          <w:spacing w:val="0"/>
          <w:sz w:val="12"/>
          <w:szCs w:val="12"/>
        </w:rPr>
      </w:pPr>
      <w:r>
        <w:rPr>
          <w:rFonts w:hint="default" w:ascii="Arial" w:hAnsi="Arial" w:eastAsia="宋体" w:cs="Arial"/>
          <w:i w:val="0"/>
          <w:iCs w:val="0"/>
          <w:caps w:val="0"/>
          <w:color w:val="222222"/>
          <w:spacing w:val="0"/>
          <w:kern w:val="0"/>
          <w:sz w:val="30"/>
          <w:szCs w:val="30"/>
          <w:lang w:val="en-US" w:eastAsia="zh-CN" w:bidi="ar"/>
        </w:rPr>
        <w:t>1、贯彻落实国家、省、市相关法律、法规、政策和区委、区政府的重大决策及工作部署，领导和组织辖区内各项工作，认真履行各项管理职能。</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2、负责辖区党建和基层组织建设工作，加强社区党组织书记队伍，负责选配社区“两委班子”。</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3、负责人民武装工作；负责辖区城市管理、房屋土地征收、公共服务、民政、司法、计划生育、人社等社会管理和服务工作，指导社区居民自治组织建设。</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4、负责辖区社会稳定，办理群众来信来访，开展人民调解和社区网格化管理。</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5、监督辖区内社区资源、资产、资金的管理使用。建立健全社区财务管理制度，推进社区财务规范化管理。</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6、负责森林防火、防汛抗旱及安全生产工作。协助开展食品药品监管、公共卫生服务工作。</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7、负责协调辖区单位广泛参与社区建设及社会化管理工作，指导社区与辖区单位签订共驻共建协议，实现辖区单位与社区共驻共建、资源共享。</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8、指导社区整合各种资源，服务项目建设，协助城市建设；充分调动社区广大党员、群众的积极性，全面参与社区建设。</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9、负责园区经济发展、招商引资、洽谈跟踪及落地项目建设及协调等工作；负责还建小区建设、棚户区改造工作及园区辖区内的违章管控工作。</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10、完成上级交办的其他任务。</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14"/>
          <w:szCs w:val="14"/>
          <w:lang w:val="en-US" w:eastAsia="zh-CN" w:bidi="ar"/>
        </w:rPr>
        <w:t> </w:t>
      </w:r>
    </w:p>
    <w:p>
      <w:pPr>
        <w:pStyle w:val="3"/>
        <w:keepNext w:val="0"/>
        <w:keepLines w:val="0"/>
        <w:widowControl/>
        <w:suppressLineNumbers w:val="0"/>
        <w:ind w:left="0" w:firstLine="0"/>
        <w:rPr>
          <w:rFonts w:hint="default" w:ascii="Arial" w:hAnsi="Arial" w:cs="Arial"/>
          <w:i w:val="0"/>
          <w:iCs w:val="0"/>
          <w:caps w:val="0"/>
          <w:color w:val="222222"/>
          <w:spacing w:val="0"/>
        </w:rPr>
      </w:pPr>
      <w:r>
        <w:rPr>
          <w:rStyle w:val="8"/>
          <w:rFonts w:hint="default" w:ascii="Arial" w:hAnsi="Arial" w:cs="Arial"/>
          <w:b/>
          <w:i w:val="0"/>
          <w:iCs w:val="0"/>
          <w:caps w:val="0"/>
          <w:color w:val="222222"/>
          <w:spacing w:val="0"/>
        </w:rPr>
        <w:t>二、机构设置</w:t>
      </w:r>
    </w:p>
    <w:p>
      <w:pPr>
        <w:keepNext w:val="0"/>
        <w:keepLines w:val="0"/>
        <w:widowControl/>
        <w:suppressLineNumbers w:val="0"/>
        <w:ind w:left="0" w:firstLine="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1、机构设置情况：长乐山工业园在2010年被批准为省级工业园区，2011年3月组建，2011年7月省编办批复长乐山工业园区（筹）管理委员会为下陆区人民政府派出的副县级机构，2011年9月8日，园区管委会正式挂牌成立。2014年，下陆区人民政府关于进一步深化改革，加强和完善片区管理的通知文件精神，新增和加强了人民武装；维护社会稳定工作；城市管理；民政、司法、卫计、人社等社会管理和公共服务工作；财务工作；协调人大、政府工作等职能。园区内设党政办公室、政法办公室、社会事务管理办公室、城管办公室、经济发展办公室、基础设施建设办公室。</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2、编制情况：长乐山工业园核定编制数为11名，其中行政编制11名，事业编制0名。2021年年末在职在编人员13人（其中行政编制人员8人，事业编制人员5人），退伍安置2人，退休人员1人（已全部转入机关事业单位养老保险发放养老金）。</w:t>
      </w:r>
    </w:p>
    <w:p>
      <w:pPr>
        <w:pStyle w:val="3"/>
        <w:keepNext w:val="0"/>
        <w:keepLines w:val="0"/>
        <w:widowControl/>
        <w:suppressLineNumbers w:val="0"/>
        <w:ind w:left="0" w:firstLine="0"/>
        <w:rPr>
          <w:rFonts w:hint="default" w:ascii="Arial" w:hAnsi="Arial" w:cs="Arial"/>
          <w:i w:val="0"/>
          <w:iCs w:val="0"/>
          <w:caps w:val="0"/>
          <w:color w:val="222222"/>
          <w:spacing w:val="0"/>
        </w:rPr>
      </w:pPr>
      <w:r>
        <w:rPr>
          <w:rFonts w:hint="default" w:ascii="Arial" w:hAnsi="Arial" w:cs="Arial"/>
          <w:i w:val="0"/>
          <w:iCs w:val="0"/>
          <w:caps w:val="0"/>
          <w:color w:val="222222"/>
          <w:spacing w:val="0"/>
        </w:rPr>
        <w:t>三、2021年度部门决算情况说明</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（一）收支决算的总体情况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长乐山工业园2021年度决算总收入合计3376.35万元，其中：财政拨款收入2534.96万元，占总收入的75.08%</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其他收入841.4万元，占总收入的24.92%。较2020年度决算总收入2369.87万元增加了1006.48万元，主要原因是</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单位人员增加，相应的人员经费增加</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往来单位的预算外拨款资金增加。较2021年预算总收入447.2万元增加了2929.15万元，主要原因是：1、增加社区工作人员的工资福利收入；2、增加长宇新城二期主体工程债券资金收入。3、增加了预算外往来资金收入。</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长乐山工业园</w:t>
      </w:r>
      <w:r>
        <w:rPr>
          <w:rFonts w:hint="default" w:ascii="Arial" w:hAnsi="Arial" w:eastAsia="宋体" w:cs="Arial"/>
          <w:i w:val="0"/>
          <w:iCs w:val="0"/>
          <w:caps w:val="0"/>
          <w:color w:val="222222"/>
          <w:spacing w:val="0"/>
          <w:kern w:val="0"/>
          <w:sz w:val="30"/>
          <w:szCs w:val="30"/>
          <w:lang w:val="en-US" w:eastAsia="zh-CN" w:bidi="ar"/>
        </w:rPr>
        <w:t>2021年度决算总支出合计2934.83万元，其中：基本支出812.61万元，占决算总支出的27.69%；项目支出2122.22元，占决算总支出的72.31%。较2020年度决算总支出2286.18万元增加了648.65万元，主要原因是2021年人员增加，相应的人员经费增加；长宇新城二期主体工程费等项目支出较去年增加。较2021年预算总支出447.2万元增加了2487.63万元，主要原因是：1、增加社区工作人员的工资福利支出；2、增加长宇新城二期主体工程债券资金支出；3、增加了预算外往来资金支出。</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（二）决算收入增减变化情况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长乐山工业园2021年度决算收入合计3376.35万元，其中：财政拨款收入2534.96万元，占决算总收入的75.08%，其他收入841.4万元，占决算总收入的24.92%。2021年较2020年度决算总收入2369.87万元增加了1006.48万元，主要原因是</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单位人员增加，相应的人员经费增加</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往来单位的预算外拨款资金增加。较2021年预算总收入447.2万元增加了2929.15万元，主要原因是：1、增加社区工作人员的工资福利收入；2、增加长宇新城二期主体工程债券资金收入。3、增加了预算外往来资金收入。</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（三）决算支出增减变化情况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长乐山工业园2021年度支出2934.83万元，其中：基本支出812.61万元，占决算总支出的27.69%；项目支出2122.22元，占决算总支出的72.31%。2021年较2020年度决算总支出2286.18万元增加了648.65万元，主要原因是</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2021年人员增加，相应的人员经费增加；长宇新城二期主体工程费等项目支出较去年增加。较2021年预算总支出447.2万元增加了2487.63万元，主要原因是：1、增加社区工作人员的工资福利支出；2、增加长宇新城二期主体工程债券资金支出；3、增加了预算外往来资金支出。</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基本支主要用于：</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（1）工资及福利支出593.77万元，主要用于职工基本工资、津贴、补贴、奖金、社会保障缴费支出；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（2）商品及服务支出212.19万元，主要用于办公费用、印刷费、水电费、电话费、劳务费、工会福利费、燃油费、交通费、招待费、专项经费等支出；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（3）对个人和家庭的补助支出3.45万元；主要用于退休费等支出；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（4）资本性支出3.2万元；主要用于办公设备购置。</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（四）财政拨款收入支出决算情况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长乐山工业园2021年财政拨款收入总计2534.96万元，</w:t>
      </w:r>
      <w:r>
        <w:rPr>
          <w:rFonts w:hint="eastAsia" w:ascii="Arial" w:hAnsi="Arial" w:eastAsia="宋体" w:cs="Arial"/>
          <w:i w:val="0"/>
          <w:iCs w:val="0"/>
          <w:caps w:val="0"/>
          <w:color w:val="222222"/>
          <w:spacing w:val="0"/>
          <w:kern w:val="0"/>
          <w:sz w:val="30"/>
          <w:szCs w:val="30"/>
          <w:lang w:val="en-US" w:eastAsia="zh-CN" w:bidi="ar"/>
        </w:rPr>
        <w:t>与上年决算数1938.71万元相比增加了596.25万元，</w:t>
      </w:r>
      <w:r>
        <w:rPr>
          <w:rFonts w:hint="default" w:ascii="Arial" w:hAnsi="Arial" w:eastAsia="宋体" w:cs="Arial"/>
          <w:i w:val="0"/>
          <w:iCs w:val="0"/>
          <w:caps w:val="0"/>
          <w:color w:val="222222"/>
          <w:spacing w:val="0"/>
          <w:kern w:val="0"/>
          <w:sz w:val="30"/>
          <w:szCs w:val="30"/>
          <w:lang w:val="en-US" w:eastAsia="zh-CN" w:bidi="ar"/>
        </w:rPr>
        <w:t>增长30.75%，主要原因为2021年社区工作人员的工资福利收入转为园区统一管理。</w:t>
      </w:r>
      <w:r>
        <w:rPr>
          <w:rFonts w:hint="eastAsia" w:ascii="Arial" w:hAnsi="Arial" w:eastAsia="宋体" w:cs="Arial"/>
          <w:i w:val="0"/>
          <w:iCs w:val="0"/>
          <w:caps w:val="0"/>
          <w:color w:val="222222"/>
          <w:spacing w:val="0"/>
          <w:kern w:val="0"/>
          <w:sz w:val="30"/>
          <w:szCs w:val="30"/>
          <w:lang w:val="en-US" w:eastAsia="zh-CN" w:bidi="ar"/>
        </w:rPr>
        <w:t>与</w:t>
      </w:r>
      <w:r>
        <w:rPr>
          <w:rFonts w:hint="default" w:ascii="Arial" w:hAnsi="Arial" w:eastAsia="宋体" w:cs="Arial"/>
          <w:i w:val="0"/>
          <w:iCs w:val="0"/>
          <w:caps w:val="0"/>
          <w:color w:val="222222"/>
          <w:spacing w:val="0"/>
          <w:kern w:val="0"/>
          <w:sz w:val="30"/>
          <w:szCs w:val="30"/>
          <w:lang w:val="en-US" w:eastAsia="zh-CN" w:bidi="ar"/>
        </w:rPr>
        <w:t>2021年财政拨款收入年初预算数447.2万元</w:t>
      </w:r>
      <w:r>
        <w:rPr>
          <w:rFonts w:hint="eastAsia" w:ascii="Arial" w:hAnsi="Arial" w:eastAsia="宋体" w:cs="Arial"/>
          <w:i w:val="0"/>
          <w:iCs w:val="0"/>
          <w:caps w:val="0"/>
          <w:color w:val="222222"/>
          <w:spacing w:val="0"/>
          <w:kern w:val="0"/>
          <w:sz w:val="30"/>
          <w:szCs w:val="30"/>
          <w:lang w:val="en-US" w:eastAsia="zh-CN" w:bidi="ar"/>
        </w:rPr>
        <w:t>相比</w:t>
      </w:r>
      <w:r>
        <w:rPr>
          <w:rFonts w:hint="default" w:ascii="Arial" w:hAnsi="Arial" w:eastAsia="宋体" w:cs="Arial"/>
          <w:i w:val="0"/>
          <w:iCs w:val="0"/>
          <w:caps w:val="0"/>
          <w:color w:val="222222"/>
          <w:spacing w:val="0"/>
          <w:kern w:val="0"/>
          <w:sz w:val="30"/>
          <w:szCs w:val="30"/>
          <w:lang w:val="en-US" w:eastAsia="zh-CN" w:bidi="ar"/>
        </w:rPr>
        <w:t>增加</w:t>
      </w:r>
      <w:r>
        <w:rPr>
          <w:rFonts w:hint="eastAsia" w:ascii="Arial" w:hAnsi="Arial" w:eastAsia="宋体" w:cs="Arial"/>
          <w:i w:val="0"/>
          <w:iCs w:val="0"/>
          <w:caps w:val="0"/>
          <w:color w:val="222222"/>
          <w:spacing w:val="0"/>
          <w:kern w:val="0"/>
          <w:sz w:val="30"/>
          <w:szCs w:val="30"/>
          <w:lang w:val="en-US" w:eastAsia="zh-CN" w:bidi="ar"/>
        </w:rPr>
        <w:t>了</w:t>
      </w:r>
      <w:r>
        <w:rPr>
          <w:rFonts w:hint="default" w:ascii="Arial" w:hAnsi="Arial" w:eastAsia="宋体" w:cs="Arial"/>
          <w:i w:val="0"/>
          <w:iCs w:val="0"/>
          <w:caps w:val="0"/>
          <w:color w:val="222222"/>
          <w:spacing w:val="0"/>
          <w:kern w:val="0"/>
          <w:sz w:val="30"/>
          <w:szCs w:val="30"/>
          <w:lang w:val="en-US" w:eastAsia="zh-CN" w:bidi="ar"/>
        </w:rPr>
        <w:t>2087.76万元，增幅466.85%，增加的原因为：1、增加社区工作人员的工资福利收入；2、增加长宇新城二期主体工程债券资金收入。</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长乐山业园2021年财政拨款支出总计2534.96万元，</w:t>
      </w:r>
      <w:r>
        <w:rPr>
          <w:rFonts w:hint="eastAsia" w:ascii="Arial" w:hAnsi="Arial" w:eastAsia="宋体" w:cs="Arial"/>
          <w:i w:val="0"/>
          <w:iCs w:val="0"/>
          <w:caps w:val="0"/>
          <w:color w:val="222222"/>
          <w:spacing w:val="0"/>
          <w:kern w:val="0"/>
          <w:sz w:val="30"/>
          <w:szCs w:val="30"/>
          <w:lang w:val="en-US" w:eastAsia="zh-CN" w:bidi="ar"/>
        </w:rPr>
        <w:t>与上年决算数1934.22万元相比增加了600.74万元，</w:t>
      </w:r>
      <w:r>
        <w:rPr>
          <w:rFonts w:hint="default" w:ascii="Arial" w:hAnsi="Arial" w:eastAsia="宋体" w:cs="Arial"/>
          <w:i w:val="0"/>
          <w:iCs w:val="0"/>
          <w:caps w:val="0"/>
          <w:color w:val="222222"/>
          <w:spacing w:val="0"/>
          <w:kern w:val="0"/>
          <w:sz w:val="30"/>
          <w:szCs w:val="30"/>
          <w:lang w:val="en-US" w:eastAsia="zh-CN" w:bidi="ar"/>
        </w:rPr>
        <w:t>增长31.06%。主要原因为2021年社区工作人员的工资福利支出转为园区统一管理。</w:t>
      </w:r>
      <w:r>
        <w:rPr>
          <w:rFonts w:hint="eastAsia" w:ascii="Arial" w:hAnsi="Arial" w:eastAsia="宋体" w:cs="Arial"/>
          <w:i w:val="0"/>
          <w:iCs w:val="0"/>
          <w:caps w:val="0"/>
          <w:color w:val="222222"/>
          <w:spacing w:val="0"/>
          <w:kern w:val="0"/>
          <w:sz w:val="30"/>
          <w:szCs w:val="30"/>
          <w:lang w:val="en-US" w:eastAsia="zh-CN" w:bidi="ar"/>
        </w:rPr>
        <w:t>与</w:t>
      </w:r>
      <w:r>
        <w:rPr>
          <w:rFonts w:hint="default" w:ascii="Arial" w:hAnsi="Arial" w:eastAsia="宋体" w:cs="Arial"/>
          <w:i w:val="0"/>
          <w:iCs w:val="0"/>
          <w:caps w:val="0"/>
          <w:color w:val="222222"/>
          <w:spacing w:val="0"/>
          <w:kern w:val="0"/>
          <w:sz w:val="30"/>
          <w:szCs w:val="30"/>
          <w:lang w:val="en-US" w:eastAsia="zh-CN" w:bidi="ar"/>
        </w:rPr>
        <w:t>2021年财政拨款支出年初预算数447.2万元</w:t>
      </w:r>
      <w:r>
        <w:rPr>
          <w:rFonts w:hint="eastAsia" w:ascii="Arial" w:hAnsi="Arial" w:eastAsia="宋体" w:cs="Arial"/>
          <w:i w:val="0"/>
          <w:iCs w:val="0"/>
          <w:caps w:val="0"/>
          <w:color w:val="222222"/>
          <w:spacing w:val="0"/>
          <w:kern w:val="0"/>
          <w:sz w:val="30"/>
          <w:szCs w:val="30"/>
          <w:lang w:val="en-US" w:eastAsia="zh-CN" w:bidi="ar"/>
        </w:rPr>
        <w:t>相比</w:t>
      </w:r>
      <w:r>
        <w:rPr>
          <w:rFonts w:hint="default" w:ascii="Arial" w:hAnsi="Arial" w:eastAsia="宋体" w:cs="Arial"/>
          <w:i w:val="0"/>
          <w:iCs w:val="0"/>
          <w:caps w:val="0"/>
          <w:color w:val="222222"/>
          <w:spacing w:val="0"/>
          <w:kern w:val="0"/>
          <w:sz w:val="30"/>
          <w:szCs w:val="30"/>
          <w:lang w:val="en-US" w:eastAsia="zh-CN" w:bidi="ar"/>
        </w:rPr>
        <w:t>增加</w:t>
      </w:r>
      <w:r>
        <w:rPr>
          <w:rFonts w:hint="eastAsia" w:ascii="Arial" w:hAnsi="Arial" w:eastAsia="宋体" w:cs="Arial"/>
          <w:i w:val="0"/>
          <w:iCs w:val="0"/>
          <w:caps w:val="0"/>
          <w:color w:val="222222"/>
          <w:spacing w:val="0"/>
          <w:kern w:val="0"/>
          <w:sz w:val="30"/>
          <w:szCs w:val="30"/>
          <w:lang w:val="en-US" w:eastAsia="zh-CN" w:bidi="ar"/>
        </w:rPr>
        <w:t>了</w:t>
      </w:r>
      <w:r>
        <w:rPr>
          <w:rFonts w:hint="default" w:ascii="Arial" w:hAnsi="Arial" w:eastAsia="宋体" w:cs="Arial"/>
          <w:i w:val="0"/>
          <w:iCs w:val="0"/>
          <w:caps w:val="0"/>
          <w:color w:val="222222"/>
          <w:spacing w:val="0"/>
          <w:kern w:val="0"/>
          <w:sz w:val="30"/>
          <w:szCs w:val="30"/>
          <w:lang w:val="en-US" w:eastAsia="zh-CN" w:bidi="ar"/>
        </w:rPr>
        <w:t>2087.76万元，增幅466.85%，增加的原因为：1、增加社区工作人员的工资福利支出；2、增加长宇新城二期主体工程债券资金支出。</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（五）一般公共预算财政拨款支出、基本支出决算情况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1、长乐山工业园2021年一般公共预算财政拨款支出年末决算数为2534.96万元，较2020年决算数增加</w:t>
      </w:r>
      <w:r>
        <w:rPr>
          <w:rFonts w:hint="eastAsia" w:ascii="Arial" w:hAnsi="Arial" w:eastAsia="宋体" w:cs="Arial"/>
          <w:i w:val="0"/>
          <w:iCs w:val="0"/>
          <w:caps w:val="0"/>
          <w:color w:val="222222"/>
          <w:spacing w:val="0"/>
          <w:kern w:val="0"/>
          <w:sz w:val="30"/>
          <w:szCs w:val="30"/>
          <w:lang w:val="en-US" w:eastAsia="zh-CN" w:bidi="ar"/>
        </w:rPr>
        <w:t>600.74</w:t>
      </w:r>
      <w:r>
        <w:rPr>
          <w:rFonts w:hint="default" w:ascii="Arial" w:hAnsi="Arial" w:eastAsia="宋体" w:cs="Arial"/>
          <w:i w:val="0"/>
          <w:iCs w:val="0"/>
          <w:caps w:val="0"/>
          <w:color w:val="222222"/>
          <w:spacing w:val="0"/>
          <w:kern w:val="0"/>
          <w:sz w:val="30"/>
          <w:szCs w:val="30"/>
          <w:lang w:val="en-US" w:eastAsia="zh-CN" w:bidi="ar"/>
        </w:rPr>
        <w:t>万元，增幅31.06%。与2021年预算数447.2万元相比增加2087.76万元，主要原因为：1、增加社区工作人员的工资福利支出；2、增加长宇新城二期主体工程债券资金支出。</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按支出功能分类，一般公共服务支出决算为451.89万元，较上年减少15万元，减幅3.21%；城乡社区支出决算为961.07万元，较上年增长960.92万元，增幅640613.33%；住房保障支出决算为1122万元，较上年减少277万元，减幅19.80%。</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长乐山工业园2021年一般公共预算财政拨款基本支出525.89万元，较上年增长111万元，增幅26.75%。与2021年预算384.2万元相比增加141.69万元，主要原因为2021年下半年根据上级部门统一规定，社区工作人员的工资福利支出并入园区管理。</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其中，人员经费支出467.81万元，较上年增长77.58万元，增幅19.88%。人员经费主要包括：基本工资、津贴补贴、奖金、社会保险缴费、离退休费、医疗费、住房公积金、职业年金、机关事业单位养老保险等支出。日常公用经费支出58.08万元，较上年增长33.42万元，增幅135.52%。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（六）“三公”经费支出情况</w:t>
      </w:r>
    </w:p>
    <w:p>
      <w:pPr>
        <w:keepNext w:val="0"/>
        <w:keepLines w:val="0"/>
        <w:widowControl/>
        <w:suppressLineNumbers w:val="0"/>
        <w:ind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度“三公”经费支出决算数为7.04万元，与2020年“三公”经费支出决算数4.31万元相比增长2.73万元，增幅63.34%；与2021年“三公”经费预算数11.86万元相比减少4.82万元，主要原因为公务用车运行维护费用减少6.71万元，公务接待费增长1.89万元。其中:</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1、因公出国（境）费用支出决算为0万元，共计0组， 0人次，与上年决算数持平</w:t>
      </w:r>
      <w:r>
        <w:rPr>
          <w:rFonts w:hint="eastAsia" w:ascii="Arial" w:hAnsi="Arial" w:eastAsia="宋体" w:cs="Arial"/>
          <w:i w:val="0"/>
          <w:iCs w:val="0"/>
          <w:caps w:val="0"/>
          <w:color w:val="222222"/>
          <w:spacing w:val="0"/>
          <w:kern w:val="0"/>
          <w:sz w:val="30"/>
          <w:szCs w:val="30"/>
          <w:lang w:val="en-US" w:eastAsia="zh-CN" w:bidi="ar"/>
        </w:rPr>
        <w:t>，原因是本年度无出国计划</w:t>
      </w:r>
      <w:r>
        <w:rPr>
          <w:rFonts w:hint="default" w:ascii="Arial" w:hAnsi="Arial" w:eastAsia="宋体" w:cs="Arial"/>
          <w:i w:val="0"/>
          <w:iCs w:val="0"/>
          <w:caps w:val="0"/>
          <w:color w:val="222222"/>
          <w:spacing w:val="0"/>
          <w:kern w:val="0"/>
          <w:sz w:val="30"/>
          <w:szCs w:val="30"/>
          <w:lang w:val="en-US" w:eastAsia="zh-CN" w:bidi="ar"/>
        </w:rPr>
        <w:t>。与2021年预算数持平</w:t>
      </w:r>
      <w:r>
        <w:rPr>
          <w:rFonts w:hint="eastAsia" w:ascii="Arial" w:hAnsi="Arial" w:eastAsia="宋体" w:cs="Arial"/>
          <w:i w:val="0"/>
          <w:iCs w:val="0"/>
          <w:caps w:val="0"/>
          <w:color w:val="222222"/>
          <w:spacing w:val="0"/>
          <w:kern w:val="0"/>
          <w:sz w:val="30"/>
          <w:szCs w:val="30"/>
          <w:lang w:val="en-US" w:eastAsia="zh-CN" w:bidi="ar"/>
        </w:rPr>
        <w:t>，原因是本年度无出国计划</w:t>
      </w:r>
      <w:r>
        <w:rPr>
          <w:rFonts w:hint="default"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2021年公务用车购置及运行维护费支出决算数为3.79万元，与2020年支出决算数4.31万元相比，减少0.52万元，减少原因为单位规范公务用车运行维护费，落实过紧日子要求，压缩公务运行维护费用支出。与2021年预算数10.5万元相比减少6.71万元，减少的原因单位规范公务用车运行维护费，落实过紧日子要求，压缩公务运行维护费用支出。其中：</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（1）公务用车购置费支出为0万元，</w:t>
      </w:r>
      <w:r>
        <w:rPr>
          <w:rFonts w:hint="eastAsia" w:ascii="Arial" w:hAnsi="Arial" w:eastAsia="宋体" w:cs="Arial"/>
          <w:i w:val="0"/>
          <w:iCs w:val="0"/>
          <w:caps w:val="0"/>
          <w:color w:val="222222"/>
          <w:spacing w:val="0"/>
          <w:kern w:val="0"/>
          <w:sz w:val="30"/>
          <w:szCs w:val="30"/>
          <w:lang w:val="en-US" w:eastAsia="zh-CN" w:bidi="ar"/>
        </w:rPr>
        <w:t>购买0辆，较年初预算持平，原因是本单位无公车购置计划。与上年决算数持平，原因是上年度也未购置车辆。截止2021年12月31日，本单位车辆保有量2辆，</w:t>
      </w:r>
      <w:r>
        <w:rPr>
          <w:rFonts w:hint="default" w:ascii="Arial" w:hAnsi="Arial" w:eastAsia="宋体" w:cs="Arial"/>
          <w:i w:val="0"/>
          <w:iCs w:val="0"/>
          <w:caps w:val="0"/>
          <w:color w:val="222222"/>
          <w:spacing w:val="0"/>
          <w:kern w:val="0"/>
          <w:sz w:val="30"/>
          <w:szCs w:val="30"/>
          <w:lang w:val="en-US" w:eastAsia="zh-CN" w:bidi="ar"/>
        </w:rPr>
        <w:t>与2020年支出决算数持平，与2021年年初预算数持平</w:t>
      </w:r>
      <w:r>
        <w:rPr>
          <w:rFonts w:hint="eastAsia" w:ascii="Arial" w:hAnsi="Arial" w:eastAsia="宋体" w:cs="Arial"/>
          <w:i w:val="0"/>
          <w:iCs w:val="0"/>
          <w:caps w:val="0"/>
          <w:color w:val="222222"/>
          <w:spacing w:val="0"/>
          <w:kern w:val="0"/>
          <w:sz w:val="30"/>
          <w:szCs w:val="30"/>
          <w:lang w:val="en-US" w:eastAsia="zh-CN" w:bidi="ar"/>
        </w:rPr>
        <w:t>，原因是车改后本单位无公务用车购置计划。</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公务用车运行维护费3.79万元。与2020年决算数4.31万元相比，减少了0.52万元，减少的原因是单位规范公务用车运行维护费，落实过紧日子要求，压缩公务运行维护费用支出。与2021年预算数10.5万元相比，减少了6.71万元，减少的原因是单位规范公务用车，落实过紧日子要求，压缩公务用车运行维护费用支出。</w:t>
      </w:r>
    </w:p>
    <w:p>
      <w:pPr>
        <w:keepNext w:val="0"/>
        <w:keepLines w:val="0"/>
        <w:widowControl/>
        <w:suppressLineNumbers w:val="0"/>
        <w:ind w:firstLine="300" w:firstLineChars="1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3、公务接待费预算数为1.36万元，支出决算数为3.25万元。</w:t>
      </w:r>
      <w:r>
        <w:rPr>
          <w:rFonts w:hint="eastAsia" w:ascii="Arial" w:hAnsi="Arial" w:eastAsia="宋体" w:cs="Arial"/>
          <w:i w:val="0"/>
          <w:iCs w:val="0"/>
          <w:caps w:val="0"/>
          <w:color w:val="222222"/>
          <w:spacing w:val="0"/>
          <w:kern w:val="0"/>
          <w:sz w:val="30"/>
          <w:szCs w:val="30"/>
          <w:lang w:val="en-US" w:eastAsia="zh-CN" w:bidi="ar"/>
        </w:rPr>
        <w:t>接</w:t>
      </w:r>
      <w:r>
        <w:rPr>
          <w:rFonts w:hint="default" w:ascii="Arial" w:hAnsi="Arial" w:eastAsia="宋体" w:cs="Arial"/>
          <w:i w:val="0"/>
          <w:iCs w:val="0"/>
          <w:caps w:val="0"/>
          <w:color w:val="222222"/>
          <w:spacing w:val="0"/>
          <w:kern w:val="0"/>
          <w:sz w:val="30"/>
          <w:szCs w:val="30"/>
          <w:lang w:val="en-US" w:eastAsia="zh-CN" w:bidi="ar"/>
        </w:rPr>
        <w:t>待</w:t>
      </w:r>
      <w:r>
        <w:rPr>
          <w:rFonts w:hint="eastAsia" w:ascii="Arial" w:hAnsi="Arial" w:eastAsia="宋体" w:cs="Arial"/>
          <w:i w:val="0"/>
          <w:iCs w:val="0"/>
          <w:caps w:val="0"/>
          <w:color w:val="222222"/>
          <w:spacing w:val="0"/>
          <w:kern w:val="0"/>
          <w:sz w:val="30"/>
          <w:szCs w:val="30"/>
          <w:lang w:val="en-US" w:eastAsia="zh-CN" w:bidi="ar"/>
        </w:rPr>
        <w:t>批次为</w:t>
      </w:r>
      <w:r>
        <w:rPr>
          <w:rFonts w:hint="default" w:ascii="Arial" w:hAnsi="Arial" w:eastAsia="宋体" w:cs="Arial"/>
          <w:i w:val="0"/>
          <w:iCs w:val="0"/>
          <w:caps w:val="0"/>
          <w:color w:val="222222"/>
          <w:spacing w:val="0"/>
          <w:kern w:val="0"/>
          <w:sz w:val="30"/>
          <w:szCs w:val="30"/>
          <w:lang w:val="en-US" w:eastAsia="zh-CN" w:bidi="ar"/>
        </w:rPr>
        <w:t>19批次</w:t>
      </w:r>
      <w:r>
        <w:rPr>
          <w:rFonts w:hint="eastAsia" w:ascii="Arial" w:hAnsi="Arial" w:eastAsia="宋体" w:cs="Arial"/>
          <w:i w:val="0"/>
          <w:iCs w:val="0"/>
          <w:caps w:val="0"/>
          <w:color w:val="222222"/>
          <w:spacing w:val="0"/>
          <w:kern w:val="0"/>
          <w:sz w:val="30"/>
          <w:szCs w:val="30"/>
          <w:lang w:val="en-US" w:eastAsia="zh-CN" w:bidi="ar"/>
        </w:rPr>
        <w:t>，接待人数为</w:t>
      </w:r>
      <w:r>
        <w:rPr>
          <w:rFonts w:hint="default" w:ascii="Arial" w:hAnsi="Arial" w:eastAsia="宋体" w:cs="Arial"/>
          <w:i w:val="0"/>
          <w:iCs w:val="0"/>
          <w:caps w:val="0"/>
          <w:color w:val="222222"/>
          <w:spacing w:val="0"/>
          <w:kern w:val="0"/>
          <w:sz w:val="30"/>
          <w:szCs w:val="30"/>
          <w:lang w:val="en-US" w:eastAsia="zh-CN" w:bidi="ar"/>
        </w:rPr>
        <w:t>195人，较2020年支出决算数相比，增加了3.25万元，增加原因为：今年增加了重点项目专项经费，公务接待费相应增加。与2021年预算1.36万元相比，增加了1.89万元，主要原因为2021年扩建了项目，故商务接待量较大，公务接待费用超过了预算。</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（七）机关运行经费支出情况</w:t>
      </w:r>
    </w:p>
    <w:p>
      <w:pPr>
        <w:keepNext w:val="0"/>
        <w:keepLines w:val="0"/>
        <w:widowControl/>
        <w:suppressLineNumbers w:val="0"/>
        <w:ind w:left="0" w:firstLine="0"/>
        <w:jc w:val="left"/>
        <w:rPr>
          <w:rFonts w:hint="default" w:ascii="Arial" w:hAnsi="Arial" w:cs="Arial"/>
          <w:i w:val="0"/>
          <w:iCs w:val="0"/>
          <w:caps w:val="0"/>
          <w:color w:val="222222"/>
          <w:spacing w:val="0"/>
          <w:sz w:val="30"/>
          <w:szCs w:val="30"/>
          <w:lang w:val="en-US"/>
        </w:rPr>
      </w:pPr>
      <w:r>
        <w:rPr>
          <w:rFonts w:hint="default" w:ascii="Arial" w:hAnsi="Arial" w:eastAsia="宋体" w:cs="Arial"/>
          <w:i w:val="0"/>
          <w:iCs w:val="0"/>
          <w:caps w:val="0"/>
          <w:color w:val="222222"/>
          <w:spacing w:val="0"/>
          <w:kern w:val="0"/>
          <w:sz w:val="30"/>
          <w:szCs w:val="30"/>
          <w:lang w:val="en-US" w:eastAsia="zh-CN" w:bidi="ar"/>
        </w:rPr>
        <w:t> </w:t>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2021年度机关运行经费支出56.8万元，主要用于办公费、邮电费、差旅费、培训费、日常维修费、水电费、</w:t>
      </w:r>
      <w:r>
        <w:rPr>
          <w:rFonts w:hint="eastAsia" w:ascii="Arial" w:hAnsi="Arial" w:eastAsia="宋体" w:cs="Arial"/>
          <w:i w:val="0"/>
          <w:iCs w:val="0"/>
          <w:caps w:val="0"/>
          <w:color w:val="222222"/>
          <w:spacing w:val="0"/>
          <w:kern w:val="0"/>
          <w:sz w:val="30"/>
          <w:szCs w:val="30"/>
          <w:lang w:val="en-US" w:eastAsia="zh-CN" w:bidi="ar"/>
        </w:rPr>
        <w:t>租赁费、</w:t>
      </w:r>
      <w:r>
        <w:rPr>
          <w:rFonts w:hint="default" w:ascii="Arial" w:hAnsi="Arial" w:eastAsia="宋体" w:cs="Arial"/>
          <w:i w:val="0"/>
          <w:iCs w:val="0"/>
          <w:caps w:val="0"/>
          <w:color w:val="222222"/>
          <w:spacing w:val="0"/>
          <w:kern w:val="0"/>
          <w:sz w:val="30"/>
          <w:szCs w:val="30"/>
          <w:lang w:val="en-US" w:eastAsia="zh-CN" w:bidi="ar"/>
        </w:rPr>
        <w:t>劳务费、委托业务费、工会经费、福利费</w:t>
      </w:r>
      <w:r>
        <w:rPr>
          <w:rFonts w:hint="eastAsia" w:ascii="Arial" w:hAnsi="Arial" w:eastAsia="宋体" w:cs="Arial"/>
          <w:i w:val="0"/>
          <w:iCs w:val="0"/>
          <w:caps w:val="0"/>
          <w:color w:val="222222"/>
          <w:spacing w:val="0"/>
          <w:kern w:val="0"/>
          <w:sz w:val="30"/>
          <w:szCs w:val="30"/>
          <w:lang w:val="en-US" w:eastAsia="zh-CN" w:bidi="ar"/>
        </w:rPr>
        <w:t>、公务用车运行维护费</w:t>
      </w:r>
      <w:r>
        <w:rPr>
          <w:rFonts w:hint="default" w:ascii="Arial" w:hAnsi="Arial" w:eastAsia="宋体" w:cs="Arial"/>
          <w:i w:val="0"/>
          <w:iCs w:val="0"/>
          <w:caps w:val="0"/>
          <w:color w:val="222222"/>
          <w:spacing w:val="0"/>
          <w:kern w:val="0"/>
          <w:sz w:val="30"/>
          <w:szCs w:val="30"/>
          <w:lang w:val="en-US" w:eastAsia="zh-CN" w:bidi="ar"/>
        </w:rPr>
        <w:t>以及其他费用</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与2021年预算数相比，增加了24.44万元,主要原因是</w:t>
      </w:r>
      <w:r>
        <w:rPr>
          <w:rFonts w:hint="eastAsia" w:ascii="Arial" w:hAnsi="Arial" w:eastAsia="宋体" w:cs="Arial"/>
          <w:i w:val="0"/>
          <w:iCs w:val="0"/>
          <w:caps w:val="0"/>
          <w:color w:val="222222"/>
          <w:spacing w:val="0"/>
          <w:kern w:val="0"/>
          <w:sz w:val="30"/>
          <w:szCs w:val="30"/>
          <w:lang w:val="en-US" w:eastAsia="zh-CN" w:bidi="ar"/>
        </w:rPr>
        <w:t>：</w:t>
      </w:r>
      <w:r>
        <w:rPr>
          <w:rFonts w:hint="default" w:ascii="Arial" w:hAnsi="Arial" w:eastAsia="宋体" w:cs="Arial"/>
          <w:i w:val="0"/>
          <w:iCs w:val="0"/>
          <w:caps w:val="0"/>
          <w:color w:val="222222"/>
          <w:spacing w:val="0"/>
          <w:kern w:val="0"/>
          <w:sz w:val="30"/>
          <w:szCs w:val="30"/>
          <w:lang w:val="en-US" w:eastAsia="zh-CN" w:bidi="ar"/>
        </w:rPr>
        <w:t>办公费及委托业务费用增加。</w:t>
      </w:r>
      <w:r>
        <w:rPr>
          <w:rFonts w:hint="eastAsia" w:ascii="Arial" w:hAnsi="Arial" w:eastAsia="宋体" w:cs="Arial"/>
          <w:i w:val="0"/>
          <w:iCs w:val="0"/>
          <w:caps w:val="0"/>
          <w:color w:val="222222"/>
          <w:spacing w:val="0"/>
          <w:kern w:val="0"/>
          <w:sz w:val="30"/>
          <w:szCs w:val="30"/>
          <w:lang w:val="en-US" w:eastAsia="zh-CN" w:bidi="ar"/>
        </w:rPr>
        <w:t>与2020年决算数22.25万元相比，增加了34.55万元，主要原因是：办公费及委托业务费用增加。</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（八）政府采购支出情况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政府采购支出总额1763.5万元，其中政府采购货物支出6.5万元，政府采购工程工程支出1722万元，政府采购服务支出35万元。授予中小企业合同金额1397.17万元，占政府采购支出总额的79.23%，其中，授予小微企业合同金额838.31万元，占政府采购支出总额的47.54%。与2020年政府支出采购总额141.81万元相比，增加了1621.69万元，主要原因是2021年增加了基础设施建设项目的政府采购支出。</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（九）国有资产占用情况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截至2021年12月31日，长乐山工业园共有车辆数3辆，其中：公务用车0辆、机要通信用车0辆、应急保障用车0辆、执法执勤用车2辆、特种专业技术用车0辆、其他用车1辆，其他用车主要是垃圾转运车辆；单位价值50万元以上通用设备0台；单位价值100万元以上专用设备0台。</w:t>
      </w:r>
    </w:p>
    <w:p>
      <w:pPr>
        <w:pStyle w:val="4"/>
        <w:keepNext w:val="0"/>
        <w:keepLines w:val="0"/>
        <w:widowControl/>
        <w:suppressLineNumbers w:val="0"/>
        <w:ind w:left="0" w:firstLine="0"/>
        <w:rPr>
          <w:rFonts w:hint="default" w:ascii="Arial" w:hAnsi="Arial" w:cs="Arial"/>
          <w:i w:val="0"/>
          <w:iCs w:val="0"/>
          <w:caps w:val="0"/>
          <w:color w:val="222222"/>
          <w:spacing w:val="0"/>
          <w:sz w:val="30"/>
          <w:szCs w:val="30"/>
        </w:rPr>
      </w:pPr>
      <w:r>
        <w:rPr>
          <w:rFonts w:hint="default" w:ascii="Arial" w:hAnsi="Arial" w:cs="Arial"/>
          <w:i w:val="0"/>
          <w:iCs w:val="0"/>
          <w:caps w:val="0"/>
          <w:color w:val="222222"/>
          <w:spacing w:val="0"/>
          <w:sz w:val="30"/>
          <w:szCs w:val="30"/>
        </w:rPr>
        <w:t>（十）其他情况</w:t>
      </w:r>
    </w:p>
    <w:p>
      <w:pPr>
        <w:keepNext w:val="0"/>
        <w:keepLines w:val="0"/>
        <w:widowControl/>
        <w:suppressLineNumbers w:val="0"/>
        <w:ind w:left="0" w:firstLine="600" w:firstLineChars="20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长乐山工业园2021年无举借政府债务、无扶贫专项资金、无政府性基金预算收支、无财政专项支出、无专项转移支付。</w:t>
      </w:r>
    </w:p>
    <w:p>
      <w:pPr>
        <w:pStyle w:val="3"/>
        <w:keepNext w:val="0"/>
        <w:keepLines w:val="0"/>
        <w:widowControl/>
        <w:suppressLineNumbers w:val="0"/>
        <w:ind w:left="0" w:firstLine="0"/>
        <w:rPr>
          <w:rFonts w:hint="default" w:ascii="Arial" w:hAnsi="Arial" w:cs="Arial"/>
          <w:i w:val="0"/>
          <w:iCs w:val="0"/>
          <w:caps w:val="0"/>
          <w:color w:val="222222"/>
          <w:spacing w:val="0"/>
        </w:rPr>
      </w:pPr>
      <w:r>
        <w:rPr>
          <w:rFonts w:hint="default" w:ascii="Arial" w:hAnsi="Arial" w:cs="Arial"/>
          <w:i w:val="0"/>
          <w:iCs w:val="0"/>
          <w:caps w:val="0"/>
          <w:color w:val="222222"/>
          <w:spacing w:val="0"/>
        </w:rPr>
        <w:t>四、2021年度预算绩效情况的说明</w:t>
      </w:r>
    </w:p>
    <w:p>
      <w:pPr>
        <w:keepNext w:val="0"/>
        <w:keepLines w:val="0"/>
        <w:widowControl/>
        <w:numPr>
          <w:ilvl w:val="0"/>
          <w:numId w:val="1"/>
        </w:numPr>
        <w:suppressLineNumbers w:val="0"/>
        <w:ind w:left="300" w:hanging="300" w:hangingChars="100"/>
        <w:jc w:val="left"/>
        <w:rPr>
          <w:rFonts w:hint="default" w:ascii="Arial" w:hAnsi="Arial" w:eastAsia="宋体" w:cs="Arial"/>
          <w:i w:val="0"/>
          <w:iCs w:val="0"/>
          <w:caps w:val="0"/>
          <w:color w:val="222222"/>
          <w:spacing w:val="0"/>
          <w:kern w:val="0"/>
          <w:sz w:val="30"/>
          <w:szCs w:val="30"/>
          <w:lang w:val="en-US" w:eastAsia="zh-CN" w:bidi="ar"/>
        </w:rPr>
      </w:pPr>
      <w:r>
        <w:rPr>
          <w:rFonts w:hint="default" w:ascii="Arial" w:hAnsi="Arial" w:eastAsia="宋体" w:cs="Arial"/>
          <w:i w:val="0"/>
          <w:iCs w:val="0"/>
          <w:caps w:val="0"/>
          <w:color w:val="222222"/>
          <w:spacing w:val="0"/>
          <w:kern w:val="0"/>
          <w:sz w:val="30"/>
          <w:szCs w:val="30"/>
          <w:lang w:val="en-US" w:eastAsia="zh-CN" w:bidi="ar"/>
        </w:rPr>
        <w:t>预算绩效管理工作开展情况</w:t>
      </w:r>
    </w:p>
    <w:p>
      <w:pPr>
        <w:keepNext w:val="0"/>
        <w:keepLines w:val="0"/>
        <w:widowControl/>
        <w:numPr>
          <w:ilvl w:val="0"/>
          <w:numId w:val="0"/>
        </w:numPr>
        <w:suppressLineNumbers w:val="0"/>
        <w:ind w:leftChars="-100" w:firstLine="600" w:firstLineChars="200"/>
        <w:jc w:val="left"/>
        <w:rPr>
          <w:rFonts w:hint="default" w:ascii="Arial" w:hAnsi="Arial" w:eastAsia="宋体" w:cs="Arial"/>
          <w:i w:val="0"/>
          <w:iCs w:val="0"/>
          <w:caps w:val="0"/>
          <w:color w:val="222222"/>
          <w:spacing w:val="0"/>
          <w:kern w:val="0"/>
          <w:sz w:val="30"/>
          <w:szCs w:val="30"/>
          <w:lang w:val="en-US" w:eastAsia="zh-CN" w:bidi="ar"/>
        </w:rPr>
      </w:pPr>
      <w:r>
        <w:rPr>
          <w:rFonts w:hint="default" w:ascii="Arial" w:hAnsi="Arial" w:eastAsia="宋体" w:cs="Arial"/>
          <w:i w:val="0"/>
          <w:iCs w:val="0"/>
          <w:caps w:val="0"/>
          <w:color w:val="222222"/>
          <w:spacing w:val="0"/>
          <w:kern w:val="0"/>
          <w:sz w:val="30"/>
          <w:szCs w:val="30"/>
          <w:lang w:val="en-US" w:eastAsia="zh-CN" w:bidi="ar"/>
        </w:rPr>
        <w:t>根据预算绩效管理要求，我单位组织对2021年度一般公共预算项目支出全面开展绩效自评，共涉及项目1个，资金52万元，占一般公共预算项目支出总额的100%。从评价情况来看我单位2021年各项目绩效目标基本完成，项目立项程序完整、规范，绩效目标明确。预算编制合理，预算执行及时、有效；项目支出绩效自评结果较好，绩效管理水平不断提高，绩效指标体系建设逐渐丰富和完善。</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    </w:t>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（二）部门决算中项目绩效自评结果</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我单位今年在部门决算中反映所有项目绩效自评结果（涉密项目除外）。</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项目全年预算数为52万元，其中：一般公共预算财政拨款52万元。执行数为52万元，完成预算100%。主要产出和效益如下：</w:t>
      </w:r>
    </w:p>
    <w:p>
      <w:pPr>
        <w:keepNext w:val="0"/>
        <w:keepLines w:val="0"/>
        <w:widowControl/>
        <w:numPr>
          <w:ilvl w:val="0"/>
          <w:numId w:val="0"/>
        </w:numPr>
        <w:suppressLineNumbers w:val="0"/>
        <w:ind w:firstLine="600" w:firstLineChars="200"/>
        <w:jc w:val="left"/>
        <w:rPr>
          <w:rFonts w:hint="default" w:ascii="Arial" w:hAnsi="Arial" w:eastAsia="宋体" w:cs="Arial"/>
          <w:i w:val="0"/>
          <w:iCs w:val="0"/>
          <w:caps w:val="0"/>
          <w:color w:val="222222"/>
          <w:spacing w:val="0"/>
          <w:kern w:val="0"/>
          <w:sz w:val="30"/>
          <w:szCs w:val="30"/>
          <w:lang w:val="en-US" w:eastAsia="zh-CN" w:bidi="ar"/>
        </w:rPr>
      </w:pPr>
      <w:r>
        <w:rPr>
          <w:rFonts w:hint="eastAsia" w:ascii="Arial" w:hAnsi="Arial" w:eastAsia="宋体" w:cs="Arial"/>
          <w:i w:val="0"/>
          <w:iCs w:val="0"/>
          <w:caps w:val="0"/>
          <w:color w:val="222222"/>
          <w:spacing w:val="0"/>
          <w:kern w:val="0"/>
          <w:sz w:val="30"/>
          <w:szCs w:val="30"/>
          <w:lang w:val="en-US" w:eastAsia="zh-CN" w:bidi="ar"/>
        </w:rPr>
        <w:t>1、</w:t>
      </w:r>
      <w:r>
        <w:rPr>
          <w:rFonts w:hint="default" w:ascii="Arial" w:hAnsi="Arial" w:eastAsia="宋体" w:cs="Arial"/>
          <w:i w:val="0"/>
          <w:iCs w:val="0"/>
          <w:caps w:val="0"/>
          <w:color w:val="222222"/>
          <w:spacing w:val="0"/>
          <w:kern w:val="0"/>
          <w:sz w:val="30"/>
          <w:szCs w:val="30"/>
          <w:lang w:val="en-US" w:eastAsia="zh-CN" w:bidi="ar"/>
        </w:rPr>
        <w:t>完成城管局下派各类任务率达100%，减少违建量24件，减少违章建筑，加强社会稳定率达98%，群众满意度达98%。</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2、完成救助对象4人，完成信访件数13件，息访息诉率达98%，维护社会稳定率达98%，群众满意度达98%。</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3、及时全额完成党委、政府赋予的任务数量，巩固全区社区治安、民生安全率达98%，对人民武装建设持续影响程度达98%，群众满意度达100%。</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4、及时全额完成人大代表工作，群众满意度达98%。</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下一步改进措施：</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   </w:t>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 结合以往年度实际情况，科学测算社会事务专项经费预算，进一步提高预算编制的准确性。</w:t>
      </w:r>
      <w:r>
        <w:rPr>
          <w:rFonts w:hint="default" w:ascii="Arial" w:hAnsi="Arial" w:eastAsia="宋体" w:cs="Arial"/>
          <w:i w:val="0"/>
          <w:iCs w:val="0"/>
          <w:caps w:val="0"/>
          <w:color w:val="222222"/>
          <w:spacing w:val="0"/>
          <w:kern w:val="0"/>
          <w:sz w:val="30"/>
          <w:szCs w:val="30"/>
          <w:lang w:val="en-US" w:eastAsia="zh-CN" w:bidi="ar"/>
        </w:rPr>
        <w:br w:type="textWrapping"/>
      </w:r>
    </w:p>
    <w:p>
      <w:pPr>
        <w:keepNext w:val="0"/>
        <w:keepLines w:val="0"/>
        <w:widowControl/>
        <w:numPr>
          <w:ilvl w:val="0"/>
          <w:numId w:val="0"/>
        </w:numPr>
        <w:suppressLineNumbers w:val="0"/>
        <w:ind w:left="300" w:hanging="300" w:hangingChars="100"/>
        <w:jc w:val="left"/>
        <w:rPr>
          <w:rFonts w:hint="default" w:ascii="Arial" w:hAnsi="Arial" w:eastAsia="宋体" w:cs="Arial"/>
          <w:i w:val="0"/>
          <w:iCs w:val="0"/>
          <w:caps w:val="0"/>
          <w:color w:val="222222"/>
          <w:spacing w:val="0"/>
          <w:kern w:val="0"/>
          <w:sz w:val="30"/>
          <w:szCs w:val="30"/>
          <w:lang w:val="en-US" w:eastAsia="zh-CN" w:bidi="ar"/>
        </w:rPr>
      </w:pPr>
      <w:r>
        <w:rPr>
          <w:rFonts w:hint="default" w:ascii="Arial" w:hAnsi="Arial" w:eastAsia="宋体" w:cs="Arial"/>
          <w:i w:val="0"/>
          <w:iCs w:val="0"/>
          <w:caps w:val="0"/>
          <w:color w:val="222222"/>
          <w:spacing w:val="0"/>
          <w:kern w:val="0"/>
          <w:sz w:val="30"/>
          <w:szCs w:val="30"/>
          <w:lang w:val="en-US" w:eastAsia="zh-CN" w:bidi="ar"/>
        </w:rPr>
        <w:t>（三）绩效评级结果应用情况</w:t>
      </w:r>
    </w:p>
    <w:p>
      <w:pPr>
        <w:keepNext w:val="0"/>
        <w:keepLines w:val="0"/>
        <w:widowControl/>
        <w:numPr>
          <w:ilvl w:val="0"/>
          <w:numId w:val="0"/>
        </w:numPr>
        <w:suppressLineNumbers w:val="0"/>
        <w:ind w:firstLine="600" w:firstLineChars="200"/>
        <w:jc w:val="left"/>
        <w:rPr>
          <w:rFonts w:hint="eastAsia" w:ascii="Arial" w:hAnsi="Arial" w:eastAsia="宋体" w:cs="Arial"/>
          <w:i w:val="0"/>
          <w:iCs w:val="0"/>
          <w:caps w:val="0"/>
          <w:color w:val="222222"/>
          <w:spacing w:val="0"/>
          <w:kern w:val="0"/>
          <w:sz w:val="30"/>
          <w:szCs w:val="30"/>
          <w:lang w:val="en-US" w:eastAsia="zh-CN" w:bidi="ar"/>
        </w:rPr>
      </w:pPr>
      <w:r>
        <w:rPr>
          <w:rFonts w:hint="default" w:ascii="Arial" w:hAnsi="Arial" w:eastAsia="宋体" w:cs="Arial"/>
          <w:i w:val="0"/>
          <w:iCs w:val="0"/>
          <w:caps w:val="0"/>
          <w:color w:val="222222"/>
          <w:spacing w:val="0"/>
          <w:kern w:val="0"/>
          <w:sz w:val="30"/>
          <w:szCs w:val="30"/>
          <w:lang w:val="en-US" w:eastAsia="zh-CN" w:bidi="ar"/>
        </w:rPr>
        <w:t>1.部门绩效评价结果应用情况</w:t>
      </w:r>
      <w:r>
        <w:rPr>
          <w:rFonts w:hint="eastAsia" w:ascii="Arial" w:hAnsi="Arial" w:eastAsia="宋体" w:cs="Arial"/>
          <w:i w:val="0"/>
          <w:iCs w:val="0"/>
          <w:caps w:val="0"/>
          <w:color w:val="222222"/>
          <w:spacing w:val="0"/>
          <w:kern w:val="0"/>
          <w:sz w:val="30"/>
          <w:szCs w:val="30"/>
          <w:lang w:val="en-US" w:eastAsia="zh-CN" w:bidi="ar"/>
        </w:rPr>
        <w:t xml:space="preserve"> </w:t>
      </w:r>
    </w:p>
    <w:p>
      <w:pPr>
        <w:keepNext w:val="0"/>
        <w:keepLines w:val="0"/>
        <w:widowControl/>
        <w:numPr>
          <w:ilvl w:val="0"/>
          <w:numId w:val="0"/>
        </w:numPr>
        <w:suppressLineNumbers w:val="0"/>
        <w:ind w:firstLine="600" w:firstLineChars="200"/>
        <w:jc w:val="left"/>
        <w:rPr>
          <w:rFonts w:hint="default" w:ascii="Arial" w:hAnsi="Arial" w:eastAsia="宋体" w:cs="Arial"/>
          <w:i w:val="0"/>
          <w:iCs w:val="0"/>
          <w:caps w:val="0"/>
          <w:color w:val="222222"/>
          <w:spacing w:val="0"/>
          <w:kern w:val="0"/>
          <w:sz w:val="30"/>
          <w:szCs w:val="30"/>
          <w:lang w:val="en-US" w:eastAsia="zh-CN" w:bidi="ar"/>
        </w:rPr>
      </w:pPr>
      <w:r>
        <w:rPr>
          <w:rFonts w:hint="default" w:ascii="Arial" w:hAnsi="Arial" w:eastAsia="宋体" w:cs="Arial"/>
          <w:i w:val="0"/>
          <w:iCs w:val="0"/>
          <w:caps w:val="0"/>
          <w:color w:val="222222"/>
          <w:spacing w:val="0"/>
          <w:kern w:val="0"/>
          <w:sz w:val="30"/>
          <w:szCs w:val="30"/>
          <w:lang w:val="en-US" w:eastAsia="zh-CN" w:bidi="ar"/>
        </w:rPr>
        <w:t>加强绩效评价结果应用，我单位将绩效自评结果作为以后年度该项目预算编制和安排财政资金的重要参考依据；将绩效自评结果按照要求向社会公开，自觉接受社会监督。</w:t>
      </w:r>
    </w:p>
    <w:p>
      <w:pPr>
        <w:keepNext w:val="0"/>
        <w:keepLines w:val="0"/>
        <w:widowControl/>
        <w:numPr>
          <w:ilvl w:val="0"/>
          <w:numId w:val="0"/>
        </w:numPr>
        <w:suppressLineNumbers w:val="0"/>
        <w:ind w:firstLine="300" w:firstLineChars="100"/>
        <w:jc w:val="left"/>
        <w:rPr>
          <w:rFonts w:hint="default" w:ascii="Arial" w:hAnsi="Arial" w:eastAsia="宋体" w:cs="Arial"/>
          <w:i w:val="0"/>
          <w:iCs w:val="0"/>
          <w:caps w:val="0"/>
          <w:color w:val="222222"/>
          <w:spacing w:val="0"/>
          <w:kern w:val="0"/>
          <w:sz w:val="30"/>
          <w:szCs w:val="30"/>
          <w:lang w:val="en-US" w:eastAsia="zh-CN" w:bidi="ar"/>
        </w:rPr>
      </w:pP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2.部门绩效评价结果拟应用情况</w:t>
      </w:r>
      <w:r>
        <w:rPr>
          <w:rFonts w:hint="default" w:ascii="Arial" w:hAnsi="Arial" w:eastAsia="宋体" w:cs="Arial"/>
          <w:i w:val="0"/>
          <w:iCs w:val="0"/>
          <w:caps w:val="0"/>
          <w:color w:val="222222"/>
          <w:spacing w:val="0"/>
          <w:kern w:val="0"/>
          <w:sz w:val="30"/>
          <w:szCs w:val="30"/>
          <w:lang w:val="en-US" w:eastAsia="zh-CN" w:bidi="ar"/>
        </w:rPr>
        <w:br w:type="textWrapping"/>
      </w: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lang w:val="en-US" w:eastAsia="zh-CN" w:bidi="ar"/>
        </w:rPr>
        <w:t>我单位将绩效自评结果与2021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keepNext w:val="0"/>
        <w:keepLines w:val="0"/>
        <w:widowControl/>
        <w:numPr>
          <w:ilvl w:val="0"/>
          <w:numId w:val="0"/>
        </w:numPr>
        <w:suppressLineNumbers w:val="0"/>
        <w:jc w:val="left"/>
        <w:rPr>
          <w:rFonts w:hint="eastAsia" w:ascii="Arial" w:hAnsi="Arial" w:eastAsia="宋体" w:cs="Arial"/>
          <w:b/>
          <w:bCs/>
          <w:i w:val="0"/>
          <w:iCs w:val="0"/>
          <w:caps w:val="0"/>
          <w:color w:val="222222"/>
          <w:spacing w:val="0"/>
          <w:kern w:val="0"/>
          <w:sz w:val="30"/>
          <w:szCs w:val="30"/>
          <w:lang w:val="en-US" w:eastAsia="zh-CN" w:bidi="ar"/>
        </w:rPr>
      </w:pPr>
    </w:p>
    <w:p>
      <w:pPr>
        <w:spacing w:before="340" w:line="223" w:lineRule="auto"/>
        <w:rPr>
          <w:rFonts w:ascii="黑体" w:hAnsi="黑体" w:eastAsia="黑体" w:cs="黑体"/>
          <w:b/>
          <w:bCs/>
          <w:spacing w:val="1"/>
          <w:sz w:val="35"/>
          <w:szCs w:val="35"/>
        </w:rPr>
      </w:pPr>
    </w:p>
    <w:p>
      <w:pPr>
        <w:spacing w:before="340" w:line="223" w:lineRule="auto"/>
        <w:rPr>
          <w:rFonts w:ascii="黑体" w:hAnsi="黑体" w:eastAsia="黑体" w:cs="黑体"/>
          <w:b/>
          <w:bCs/>
          <w:spacing w:val="1"/>
          <w:sz w:val="35"/>
          <w:szCs w:val="35"/>
        </w:rPr>
      </w:pPr>
    </w:p>
    <w:p>
      <w:pPr>
        <w:spacing w:before="340" w:line="223" w:lineRule="auto"/>
        <w:rPr>
          <w:rFonts w:ascii="黑体" w:hAnsi="黑体" w:eastAsia="黑体" w:cs="黑体"/>
          <w:b/>
          <w:bCs/>
          <w:spacing w:val="1"/>
          <w:sz w:val="35"/>
          <w:szCs w:val="35"/>
        </w:rPr>
      </w:pPr>
    </w:p>
    <w:p>
      <w:pPr>
        <w:spacing w:before="340" w:line="223" w:lineRule="auto"/>
        <w:rPr>
          <w:rFonts w:ascii="黑体" w:hAnsi="黑体" w:eastAsia="黑体" w:cs="黑体"/>
          <w:b/>
          <w:bCs/>
          <w:spacing w:val="1"/>
          <w:sz w:val="35"/>
          <w:szCs w:val="35"/>
        </w:rPr>
      </w:pPr>
    </w:p>
    <w:p>
      <w:pPr>
        <w:keepNext w:val="0"/>
        <w:keepLines w:val="0"/>
        <w:widowControl/>
        <w:numPr>
          <w:ilvl w:val="0"/>
          <w:numId w:val="0"/>
        </w:numPr>
        <w:suppressLineNumbers w:val="0"/>
        <w:jc w:val="left"/>
        <w:rPr>
          <w:rFonts w:ascii="黑体" w:hAnsi="黑体" w:eastAsia="黑体" w:cs="黑体"/>
          <w:b/>
          <w:bCs/>
          <w:spacing w:val="1"/>
          <w:sz w:val="35"/>
          <w:szCs w:val="35"/>
        </w:rPr>
      </w:pPr>
      <w:r>
        <w:rPr>
          <w:rFonts w:hint="eastAsia" w:ascii="Arial" w:hAnsi="Arial" w:eastAsia="宋体" w:cs="Arial"/>
          <w:b/>
          <w:bCs/>
          <w:i w:val="0"/>
          <w:iCs w:val="0"/>
          <w:caps w:val="0"/>
          <w:color w:val="222222"/>
          <w:spacing w:val="0"/>
          <w:kern w:val="0"/>
          <w:sz w:val="30"/>
          <w:szCs w:val="30"/>
          <w:lang w:val="en-US" w:eastAsia="zh-CN" w:bidi="ar"/>
        </w:rPr>
        <w:t>公开项目绩效自评表</w:t>
      </w:r>
    </w:p>
    <w:p>
      <w:pPr>
        <w:spacing w:before="340" w:line="223" w:lineRule="auto"/>
        <w:rPr>
          <w:rFonts w:ascii="黑体" w:hAnsi="黑体" w:eastAsia="黑体" w:cs="黑体"/>
          <w:b/>
          <w:bCs/>
          <w:spacing w:val="1"/>
          <w:sz w:val="35"/>
          <w:szCs w:val="35"/>
        </w:rPr>
      </w:pPr>
      <w:r>
        <w:rPr>
          <w:rFonts w:ascii="黑体" w:hAnsi="黑体" w:eastAsia="黑体" w:cs="黑体"/>
          <w:b/>
          <w:bCs/>
          <w:spacing w:val="1"/>
          <w:sz w:val="35"/>
          <w:szCs w:val="35"/>
        </w:rPr>
        <w:t>附表2</w:t>
      </w:r>
    </w:p>
    <w:p>
      <w:pPr>
        <w:spacing w:before="105" w:line="219" w:lineRule="auto"/>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t>2021</w:t>
      </w:r>
      <w:r>
        <w:rPr>
          <w:rFonts w:ascii="宋体" w:hAnsi="宋体" w:eastAsia="宋体" w:cs="宋体"/>
          <w:b/>
          <w:bCs/>
          <w:spacing w:val="17"/>
          <w:sz w:val="43"/>
          <w:szCs w:val="43"/>
        </w:rPr>
        <w:t>年度</w:t>
      </w:r>
      <w:r>
        <w:rPr>
          <w:rFonts w:hint="eastAsia" w:ascii="宋体" w:hAnsi="宋体" w:eastAsia="宋体" w:cs="宋体"/>
          <w:b/>
          <w:bCs/>
          <w:sz w:val="43"/>
          <w:szCs w:val="43"/>
          <w:lang w:val="en-US" w:eastAsia="zh-CN"/>
        </w:rPr>
        <w:t>长乐山工业园区社会事务专项经费</w:t>
      </w:r>
    </w:p>
    <w:p>
      <w:pPr>
        <w:spacing w:before="105" w:line="219" w:lineRule="auto"/>
        <w:jc w:val="center"/>
        <w:rPr>
          <w:rFonts w:ascii="宋体" w:hAnsi="宋体" w:eastAsia="宋体" w:cs="宋体"/>
          <w:sz w:val="43"/>
          <w:szCs w:val="43"/>
        </w:rPr>
      </w:pPr>
      <w:r>
        <w:rPr>
          <w:rFonts w:ascii="宋体" w:hAnsi="宋体" w:eastAsia="宋体" w:cs="宋体"/>
          <w:b/>
          <w:bCs/>
          <w:spacing w:val="17"/>
          <w:sz w:val="43"/>
          <w:szCs w:val="43"/>
        </w:rPr>
        <w:t>项目自评表</w:t>
      </w:r>
    </w:p>
    <w:p>
      <w:pPr>
        <w:spacing w:before="63" w:line="226" w:lineRule="auto"/>
        <w:ind w:left="239"/>
        <w:rPr>
          <w:rFonts w:ascii="楷体" w:hAnsi="楷体" w:eastAsia="楷体" w:cs="楷体"/>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 xml:space="preserve">  </w:t>
      </w:r>
      <w:r>
        <w:rPr>
          <w:rFonts w:ascii="楷体" w:hAnsi="楷体" w:eastAsia="楷体" w:cs="楷体"/>
          <w:b/>
          <w:bCs/>
          <w:spacing w:val="13"/>
          <w:position w:val="-1"/>
          <w:sz w:val="30"/>
          <w:szCs w:val="30"/>
        </w:rPr>
        <w:t>主要领导签字：</w:t>
      </w:r>
    </w:p>
    <w:p>
      <w:pPr>
        <w:spacing w:before="63" w:line="226" w:lineRule="auto"/>
        <w:ind w:left="239"/>
        <w:rPr>
          <w:rFonts w:ascii="楷体" w:hAnsi="楷体" w:eastAsia="楷体" w:cs="楷体"/>
          <w:b/>
          <w:bCs/>
          <w:spacing w:val="13"/>
          <w:position w:val="1"/>
          <w:sz w:val="30"/>
          <w:szCs w:val="30"/>
        </w:rPr>
      </w:pPr>
      <w:r>
        <w:rPr>
          <w:rFonts w:ascii="楷体" w:hAnsi="楷体" w:eastAsia="楷体" w:cs="楷体"/>
          <w:b/>
          <w:bCs/>
          <w:spacing w:val="13"/>
          <w:position w:val="1"/>
          <w:sz w:val="30"/>
          <w:szCs w:val="30"/>
        </w:rPr>
        <w:t>填报日期：</w:t>
      </w:r>
    </w:p>
    <w:p>
      <w:pPr>
        <w:spacing w:line="36" w:lineRule="auto"/>
        <w:rPr>
          <w:rFonts w:ascii="Arial"/>
          <w:sz w:val="2"/>
        </w:rPr>
      </w:pPr>
    </w:p>
    <w:tbl>
      <w:tblPr>
        <w:tblStyle w:val="9"/>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444"/>
        <w:gridCol w:w="1203"/>
        <w:gridCol w:w="962"/>
        <w:gridCol w:w="496"/>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7"/>
            <w:noWrap w:val="0"/>
            <w:vAlign w:val="center"/>
          </w:tcPr>
          <w:p>
            <w:pPr>
              <w:jc w:val="both"/>
              <w:rPr>
                <w:rFonts w:hint="default" w:ascii="Arial" w:eastAsia="宋体"/>
                <w:sz w:val="21"/>
                <w:lang w:val="en-US" w:eastAsia="zh-CN"/>
              </w:rPr>
            </w:pPr>
            <w:r>
              <w:rPr>
                <w:rFonts w:hint="eastAsia" w:ascii="Arial"/>
                <w:sz w:val="21"/>
                <w:lang w:val="en-US" w:eastAsia="zh-CN"/>
              </w:rPr>
              <w:t>社会事务专项经费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2563" w:type="dxa"/>
            <w:gridSpan w:val="2"/>
            <w:noWrap w:val="0"/>
            <w:vAlign w:val="center"/>
          </w:tcPr>
          <w:p>
            <w:pPr>
              <w:jc w:val="both"/>
              <w:rPr>
                <w:rFonts w:hint="default" w:ascii="Arial" w:eastAsia="宋体"/>
                <w:sz w:val="21"/>
                <w:lang w:val="en-US" w:eastAsia="zh-CN"/>
              </w:rPr>
            </w:pPr>
            <w:bookmarkStart w:id="0" w:name="_GoBack"/>
            <w:bookmarkEnd w:id="0"/>
          </w:p>
        </w:tc>
        <w:tc>
          <w:tcPr>
            <w:tcW w:w="2165" w:type="dxa"/>
            <w:gridSpan w:val="2"/>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2698" w:type="dxa"/>
            <w:gridSpan w:val="3"/>
            <w:noWrap w:val="0"/>
            <w:vAlign w:val="top"/>
          </w:tcPr>
          <w:p>
            <w:pPr>
              <w:rPr>
                <w:rFonts w:hint="default" w:ascii="Arial" w:eastAsia="宋体"/>
                <w:sz w:val="21"/>
                <w:lang w:val="en-US" w:eastAsia="zh-CN"/>
              </w:rPr>
            </w:pPr>
            <w:r>
              <w:rPr>
                <w:rFonts w:hint="eastAsia" w:ascii="Arial"/>
                <w:sz w:val="21"/>
                <w:lang w:val="en-US" w:eastAsia="zh-CN"/>
              </w:rPr>
              <w:t>湖北下陆长乐山工业园区管理委员会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7"/>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7"/>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7"/>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444"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203" w:type="dxa"/>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gridSpan w:val="2"/>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444" w:type="dxa"/>
            <w:noWrap w:val="0"/>
            <w:vAlign w:val="center"/>
          </w:tcPr>
          <w:p>
            <w:pPr>
              <w:jc w:val="center"/>
              <w:rPr>
                <w:rFonts w:hint="default" w:ascii="Arial" w:eastAsia="宋体"/>
                <w:sz w:val="21"/>
                <w:lang w:val="en-US" w:eastAsia="zh-CN"/>
              </w:rPr>
            </w:pPr>
            <w:r>
              <w:rPr>
                <w:rFonts w:hint="eastAsia" w:ascii="Arial"/>
                <w:sz w:val="21"/>
                <w:lang w:val="en-US" w:eastAsia="zh-CN"/>
              </w:rPr>
              <w:t>52</w:t>
            </w:r>
          </w:p>
        </w:tc>
        <w:tc>
          <w:tcPr>
            <w:tcW w:w="1203" w:type="dxa"/>
            <w:noWrap w:val="0"/>
            <w:vAlign w:val="center"/>
          </w:tcPr>
          <w:p>
            <w:pPr>
              <w:jc w:val="center"/>
              <w:rPr>
                <w:rFonts w:hint="default" w:ascii="Arial" w:eastAsia="宋体"/>
                <w:sz w:val="21"/>
                <w:lang w:val="en-US" w:eastAsia="zh-CN"/>
              </w:rPr>
            </w:pPr>
            <w:r>
              <w:rPr>
                <w:rFonts w:hint="eastAsia" w:ascii="Arial"/>
                <w:sz w:val="21"/>
                <w:lang w:val="en-US" w:eastAsia="zh-CN"/>
              </w:rPr>
              <w:t>52</w:t>
            </w:r>
          </w:p>
        </w:tc>
        <w:tc>
          <w:tcPr>
            <w:tcW w:w="145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2"/>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gridSpan w:val="2"/>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noWrap w:val="0"/>
            <w:vAlign w:val="center"/>
          </w:tcPr>
          <w:p>
            <w:pPr>
              <w:spacing w:before="220" w:line="173" w:lineRule="exact"/>
              <w:jc w:val="center"/>
              <w:rPr>
                <w:rFonts w:ascii="宋体" w:hAnsi="宋体" w:eastAsia="宋体" w:cs="宋体"/>
                <w:sz w:val="11"/>
                <w:szCs w:val="11"/>
              </w:rPr>
            </w:pPr>
            <w:r>
              <w:rPr>
                <w:rFonts w:ascii="宋体" w:hAnsi="宋体" w:eastAsia="宋体" w:cs="宋体"/>
                <w:spacing w:val="-2"/>
                <w:sz w:val="21"/>
                <w:szCs w:val="21"/>
              </w:rPr>
              <w:t>数量指标</w:t>
            </w:r>
          </w:p>
        </w:tc>
        <w:tc>
          <w:tcPr>
            <w:tcW w:w="2647" w:type="dxa"/>
            <w:gridSpan w:val="2"/>
            <w:noWrap w:val="0"/>
            <w:vAlign w:val="center"/>
          </w:tcPr>
          <w:p>
            <w:pPr>
              <w:jc w:val="both"/>
              <w:rPr>
                <w:rFonts w:hint="default" w:ascii="Arial" w:hAnsi="Times New Roman" w:eastAsia="宋体" w:cs="Times New Roman"/>
                <w:sz w:val="21"/>
                <w:lang w:val="en-US" w:eastAsia="zh-CN"/>
              </w:rPr>
            </w:pPr>
            <w:r>
              <w:rPr>
                <w:rFonts w:hint="eastAsia" w:ascii="Arial" w:hAnsi="Times New Roman" w:eastAsia="宋体" w:cs="Times New Roman"/>
                <w:sz w:val="21"/>
                <w:lang w:val="en-US" w:eastAsia="zh-CN"/>
              </w:rPr>
              <w:t>完成上级各部门下派任务数量</w:t>
            </w:r>
          </w:p>
        </w:tc>
        <w:tc>
          <w:tcPr>
            <w:tcW w:w="1458" w:type="dxa"/>
            <w:gridSpan w:val="2"/>
            <w:noWrap w:val="0"/>
            <w:vAlign w:val="center"/>
          </w:tcPr>
          <w:p>
            <w:pPr>
              <w:jc w:val="center"/>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全额完成</w:t>
            </w:r>
          </w:p>
        </w:tc>
        <w:tc>
          <w:tcPr>
            <w:tcW w:w="1318" w:type="dxa"/>
            <w:noWrap w:val="0"/>
            <w:vAlign w:val="center"/>
          </w:tcPr>
          <w:p>
            <w:pPr>
              <w:jc w:val="center"/>
              <w:rPr>
                <w:rFonts w:hint="eastAsia" w:ascii="Arial" w:hAnsi="Times New Roman" w:eastAsia="宋体" w:cs="Times New Roman"/>
                <w:kern w:val="2"/>
                <w:sz w:val="21"/>
                <w:lang w:val="en-US" w:eastAsia="zh-CN" w:bidi="ar-SA"/>
              </w:rPr>
            </w:pPr>
            <w:r>
              <w:rPr>
                <w:rFonts w:hint="eastAsia" w:ascii="Arial" w:hAnsi="Times New Roman" w:eastAsia="宋体" w:cs="Times New Roman"/>
                <w:sz w:val="21"/>
                <w:lang w:val="en-US" w:eastAsia="zh-CN"/>
              </w:rPr>
              <w:t>全额完成</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14" w:type="dxa"/>
            <w:vMerge w:val="continue"/>
            <w:tcBorders>
              <w:top w:val="nil"/>
              <w:bottom w:val="nil"/>
            </w:tcBorders>
            <w:noWrap w:val="0"/>
            <w:vAlign w:val="top"/>
          </w:tcPr>
          <w:p>
            <w:pPr>
              <w:rPr>
                <w:rFonts w:ascii="Arial"/>
                <w:sz w:val="21"/>
              </w:rPr>
            </w:pPr>
          </w:p>
        </w:tc>
        <w:tc>
          <w:tcPr>
            <w:tcW w:w="689" w:type="dxa"/>
            <w:vMerge w:val="continue"/>
            <w:noWrap w:val="0"/>
            <w:vAlign w:val="top"/>
          </w:tcPr>
          <w:p>
            <w:pPr>
              <w:rPr>
                <w:b/>
                <w:bCs/>
              </w:rPr>
            </w:pPr>
          </w:p>
        </w:tc>
        <w:tc>
          <w:tcPr>
            <w:tcW w:w="1119" w:type="dxa"/>
            <w:noWrap w:val="0"/>
            <w:vAlign w:val="center"/>
          </w:tcPr>
          <w:p>
            <w:pPr>
              <w:spacing w:before="220" w:line="173" w:lineRule="exact"/>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时效指标</w:t>
            </w:r>
          </w:p>
        </w:tc>
        <w:tc>
          <w:tcPr>
            <w:tcW w:w="2647" w:type="dxa"/>
            <w:gridSpan w:val="2"/>
            <w:noWrap w:val="0"/>
            <w:vAlign w:val="center"/>
          </w:tcPr>
          <w:p>
            <w:pPr>
              <w:spacing w:before="220" w:line="173" w:lineRule="exact"/>
              <w:jc w:val="both"/>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能否及时完成上级各部门下派任务</w:t>
            </w:r>
          </w:p>
        </w:tc>
        <w:tc>
          <w:tcPr>
            <w:tcW w:w="1458" w:type="dxa"/>
            <w:gridSpan w:val="2"/>
            <w:noWrap w:val="0"/>
            <w:vAlign w:val="center"/>
          </w:tcPr>
          <w:p>
            <w:pPr>
              <w:jc w:val="center"/>
              <w:rPr>
                <w:rFonts w:hint="eastAsia" w:ascii="Arial" w:hAnsi="Times New Roman" w:eastAsia="宋体" w:cs="Times New Roman"/>
                <w:sz w:val="21"/>
                <w:lang w:val="en-US" w:eastAsia="zh-CN"/>
              </w:rPr>
            </w:pPr>
            <w:r>
              <w:rPr>
                <w:rFonts w:hint="default" w:ascii="Arial" w:hAnsi="Times New Roman" w:eastAsia="宋体" w:cs="Times New Roman"/>
                <w:sz w:val="21"/>
                <w:lang w:val="en-US" w:eastAsia="zh-CN"/>
              </w:rPr>
              <w:t>及时完成</w:t>
            </w:r>
          </w:p>
        </w:tc>
        <w:tc>
          <w:tcPr>
            <w:tcW w:w="1318" w:type="dxa"/>
            <w:noWrap w:val="0"/>
            <w:vAlign w:val="center"/>
          </w:tcPr>
          <w:p>
            <w:pPr>
              <w:jc w:val="center"/>
              <w:rPr>
                <w:rFonts w:hint="eastAsia" w:ascii="Arial" w:hAnsi="Times New Roman" w:eastAsia="宋体" w:cs="Times New Roman"/>
                <w:kern w:val="2"/>
                <w:sz w:val="21"/>
                <w:lang w:val="en-US" w:eastAsia="zh-CN" w:bidi="ar-SA"/>
              </w:rPr>
            </w:pPr>
            <w:r>
              <w:rPr>
                <w:rFonts w:hint="default" w:ascii="Arial" w:hAnsi="Times New Roman" w:eastAsia="宋体" w:cs="Times New Roman"/>
                <w:sz w:val="21"/>
                <w:lang w:val="en-US" w:eastAsia="zh-CN"/>
              </w:rPr>
              <w:t>及时完成</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14" w:type="dxa"/>
            <w:vMerge w:val="continue"/>
            <w:tcBorders>
              <w:top w:val="nil"/>
              <w:bottom w:val="nil"/>
            </w:tcBorders>
            <w:noWrap w:val="0"/>
            <w:vAlign w:val="top"/>
          </w:tcPr>
          <w:p>
            <w:pPr>
              <w:rPr>
                <w:rFonts w:ascii="Arial"/>
                <w:sz w:val="21"/>
              </w:rPr>
            </w:pPr>
          </w:p>
        </w:tc>
        <w:tc>
          <w:tcPr>
            <w:tcW w:w="689" w:type="dxa"/>
            <w:vMerge w:val="continue"/>
            <w:noWrap w:val="0"/>
            <w:vAlign w:val="top"/>
          </w:tcPr>
          <w:p>
            <w:pPr>
              <w:rPr>
                <w:b/>
                <w:bCs/>
              </w:rPr>
            </w:pPr>
          </w:p>
        </w:tc>
        <w:tc>
          <w:tcPr>
            <w:tcW w:w="1119" w:type="dxa"/>
            <w:noWrap w:val="0"/>
            <w:vAlign w:val="center"/>
          </w:tcPr>
          <w:p>
            <w:pPr>
              <w:spacing w:before="220" w:line="173" w:lineRule="exact"/>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质量指标</w:t>
            </w:r>
          </w:p>
        </w:tc>
        <w:tc>
          <w:tcPr>
            <w:tcW w:w="2647" w:type="dxa"/>
            <w:gridSpan w:val="2"/>
            <w:noWrap w:val="0"/>
            <w:vAlign w:val="center"/>
          </w:tcPr>
          <w:p>
            <w:pPr>
              <w:spacing w:before="220" w:line="173" w:lineRule="exact"/>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完成上级部门下派工作任务质量</w:t>
            </w:r>
          </w:p>
        </w:tc>
        <w:tc>
          <w:tcPr>
            <w:tcW w:w="1458" w:type="dxa"/>
            <w:gridSpan w:val="2"/>
            <w:noWrap w:val="0"/>
            <w:vAlign w:val="center"/>
          </w:tcPr>
          <w:p>
            <w:pPr>
              <w:jc w:val="center"/>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≥95%</w:t>
            </w:r>
          </w:p>
        </w:tc>
        <w:tc>
          <w:tcPr>
            <w:tcW w:w="1318" w:type="dxa"/>
            <w:noWrap w:val="0"/>
            <w:vAlign w:val="center"/>
          </w:tcPr>
          <w:p>
            <w:pPr>
              <w:jc w:val="center"/>
              <w:rPr>
                <w:rFonts w:hint="eastAsia" w:ascii="Arial" w:hAnsi="Times New Roman" w:eastAsia="宋体" w:cs="Times New Roman"/>
                <w:kern w:val="2"/>
                <w:sz w:val="21"/>
                <w:lang w:val="en-US" w:eastAsia="zh-CN" w:bidi="ar-SA"/>
              </w:rPr>
            </w:pPr>
            <w:r>
              <w:rPr>
                <w:rFonts w:hint="eastAsia" w:ascii="Arial" w:hAnsi="Times New Roman" w:eastAsia="宋体" w:cs="Times New Roman"/>
                <w:sz w:val="21"/>
                <w:lang w:val="en-US" w:eastAsia="zh-CN"/>
              </w:rPr>
              <w:t>≥95%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top w:val="nil"/>
            </w:tcBorders>
            <w:noWrap w:val="0"/>
            <w:vAlign w:val="top"/>
          </w:tcPr>
          <w:p>
            <w:pPr>
              <w:jc w:val="center"/>
              <w:rPr>
                <w:rFonts w:ascii="Calibri" w:hAnsi="Calibri" w:eastAsia="宋体" w:cs="Times New Roman"/>
                <w:b/>
                <w:bCs/>
              </w:rPr>
            </w:pPr>
          </w:p>
          <w:p>
            <w:pPr>
              <w:bidi w:val="0"/>
              <w:rPr>
                <w:kern w:val="2"/>
                <w:sz w:val="21"/>
                <w:lang w:val="en-US" w:eastAsia="zh-CN" w:bidi="ar-SA"/>
              </w:rPr>
            </w:pPr>
          </w:p>
          <w:p>
            <w:pPr>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效益</w:t>
            </w:r>
          </w:p>
          <w:p>
            <w:pPr>
              <w:jc w:val="center"/>
              <w:rPr>
                <w:rFonts w:hint="default"/>
                <w:lang w:val="en-US" w:eastAsia="zh-CN"/>
              </w:rPr>
            </w:pPr>
            <w:r>
              <w:rPr>
                <w:rFonts w:hint="eastAsia" w:ascii="Times New Roman" w:hAnsi="Times New Roman" w:eastAsia="宋体" w:cs="Times New Roman"/>
                <w:b/>
                <w:bCs/>
                <w:lang w:val="en-US" w:eastAsia="zh-CN"/>
              </w:rPr>
              <w:t>指标</w:t>
            </w:r>
          </w:p>
        </w:tc>
        <w:tc>
          <w:tcPr>
            <w:tcW w:w="1119" w:type="dxa"/>
            <w:noWrap w:val="0"/>
            <w:vAlign w:val="center"/>
          </w:tcPr>
          <w:p>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2"/>
            <w:noWrap w:val="0"/>
            <w:vAlign w:val="center"/>
          </w:tcPr>
          <w:p>
            <w:pPr>
              <w:jc w:val="both"/>
              <w:rPr>
                <w:rFonts w:hint="default" w:ascii="Arial" w:eastAsia="宋体"/>
                <w:kern w:val="2"/>
                <w:sz w:val="21"/>
                <w:lang w:val="en-US" w:eastAsia="zh-CN" w:bidi="ar-SA"/>
              </w:rPr>
            </w:pPr>
            <w:r>
              <w:rPr>
                <w:rFonts w:hint="eastAsia" w:ascii="Arial"/>
                <w:sz w:val="21"/>
                <w:lang w:val="en-US" w:eastAsia="zh-CN"/>
              </w:rPr>
              <w:t>巩固全区社会治安、民生安生度</w:t>
            </w:r>
          </w:p>
        </w:tc>
        <w:tc>
          <w:tcPr>
            <w:tcW w:w="1458" w:type="dxa"/>
            <w:gridSpan w:val="2"/>
            <w:noWrap w:val="0"/>
            <w:vAlign w:val="center"/>
          </w:tcPr>
          <w:p>
            <w:pPr>
              <w:jc w:val="center"/>
              <w:rPr>
                <w:rFonts w:hint="default" w:ascii="Arial" w:hAnsi="Times New Roman" w:eastAsia="宋体" w:cs="Times New Roman"/>
                <w:sz w:val="21"/>
                <w:lang w:val="en-US" w:eastAsia="zh-CN"/>
              </w:rPr>
            </w:pPr>
            <w:r>
              <w:rPr>
                <w:rFonts w:hint="default" w:ascii="Arial" w:hAnsi="Times New Roman" w:eastAsia="宋体" w:cs="Times New Roman"/>
                <w:sz w:val="21"/>
                <w:lang w:val="en-US" w:eastAsia="zh-CN"/>
              </w:rPr>
              <w:t>≥95%</w:t>
            </w:r>
          </w:p>
        </w:tc>
        <w:tc>
          <w:tcPr>
            <w:tcW w:w="1318" w:type="dxa"/>
            <w:noWrap w:val="0"/>
            <w:vAlign w:val="center"/>
          </w:tcPr>
          <w:p>
            <w:pPr>
              <w:jc w:val="center"/>
              <w:rPr>
                <w:rFonts w:hint="default" w:ascii="Arial" w:hAnsi="Times New Roman" w:eastAsia="宋体" w:cs="Times New Roman"/>
                <w:kern w:val="2"/>
                <w:sz w:val="21"/>
                <w:lang w:val="en-US" w:eastAsia="zh-CN" w:bidi="ar-SA"/>
              </w:rPr>
            </w:pPr>
            <w:r>
              <w:rPr>
                <w:rFonts w:hint="default" w:ascii="Arial" w:hAnsi="Times New Roman" w:eastAsia="宋体" w:cs="Times New Roman"/>
                <w:sz w:val="21"/>
                <w:lang w:val="en-US" w:eastAsia="zh-CN"/>
              </w:rPr>
              <w:t>≥95%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bottom w:val="nil"/>
            </w:tcBorders>
            <w:noWrap w:val="0"/>
            <w:vAlign w:val="top"/>
          </w:tcPr>
          <w:p>
            <w:pPr>
              <w:jc w:val="center"/>
              <w:rPr>
                <w:rFonts w:ascii="Calibri" w:hAnsi="Calibri" w:eastAsia="宋体" w:cs="Times New Roman"/>
                <w:b/>
                <w:bCs/>
              </w:rPr>
            </w:pPr>
          </w:p>
        </w:tc>
        <w:tc>
          <w:tcPr>
            <w:tcW w:w="1119" w:type="dxa"/>
            <w:noWrap w:val="0"/>
            <w:vAlign w:val="center"/>
          </w:tcPr>
          <w:p>
            <w:pPr>
              <w:spacing w:before="118"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hint="eastAsia" w:ascii="宋体" w:hAnsi="宋体" w:eastAsia="宋体" w:cs="宋体"/>
                <w:spacing w:val="-3"/>
                <w:sz w:val="21"/>
                <w:szCs w:val="21"/>
                <w:lang w:val="en-US" w:eastAsia="zh-CN"/>
              </w:rPr>
              <w:t>环境</w:t>
            </w:r>
            <w:r>
              <w:rPr>
                <w:rFonts w:ascii="宋体" w:hAnsi="宋体" w:eastAsia="宋体" w:cs="宋体"/>
                <w:spacing w:val="-3"/>
                <w:sz w:val="21"/>
                <w:szCs w:val="21"/>
              </w:rPr>
              <w:t>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2"/>
            <w:noWrap w:val="0"/>
            <w:vAlign w:val="center"/>
          </w:tcPr>
          <w:p>
            <w:pPr>
              <w:jc w:val="both"/>
              <w:rPr>
                <w:rFonts w:hint="default" w:ascii="Arial" w:eastAsia="宋体"/>
                <w:kern w:val="2"/>
                <w:sz w:val="21"/>
                <w:lang w:val="en-US" w:eastAsia="zh-CN" w:bidi="ar-SA"/>
              </w:rPr>
            </w:pPr>
            <w:r>
              <w:rPr>
                <w:rFonts w:hint="eastAsia" w:ascii="Arial"/>
                <w:sz w:val="21"/>
                <w:lang w:val="en-US" w:eastAsia="zh-CN"/>
              </w:rPr>
              <w:t>改善全区环境</w:t>
            </w:r>
          </w:p>
        </w:tc>
        <w:tc>
          <w:tcPr>
            <w:tcW w:w="1458" w:type="dxa"/>
            <w:gridSpan w:val="2"/>
            <w:noWrap w:val="0"/>
            <w:vAlign w:val="center"/>
          </w:tcPr>
          <w:p>
            <w:pPr>
              <w:jc w:val="center"/>
              <w:rPr>
                <w:rFonts w:hint="default" w:ascii="Arial" w:hAnsi="Times New Roman" w:eastAsia="宋体" w:cs="Times New Roman"/>
                <w:sz w:val="21"/>
                <w:lang w:val="en-US" w:eastAsia="zh-CN"/>
              </w:rPr>
            </w:pPr>
            <w:r>
              <w:rPr>
                <w:rFonts w:hint="default" w:ascii="Arial" w:hAnsi="Times New Roman" w:eastAsia="宋体" w:cs="Times New Roman"/>
                <w:sz w:val="21"/>
                <w:lang w:val="en-US" w:eastAsia="zh-CN"/>
              </w:rPr>
              <w:t>≥95%</w:t>
            </w:r>
          </w:p>
        </w:tc>
        <w:tc>
          <w:tcPr>
            <w:tcW w:w="1318" w:type="dxa"/>
            <w:noWrap w:val="0"/>
            <w:vAlign w:val="center"/>
          </w:tcPr>
          <w:p>
            <w:pPr>
              <w:jc w:val="center"/>
              <w:rPr>
                <w:rFonts w:hint="default" w:ascii="Arial" w:hAnsi="Times New Roman" w:eastAsia="宋体" w:cs="Times New Roman"/>
                <w:kern w:val="2"/>
                <w:sz w:val="21"/>
                <w:lang w:val="en-US" w:eastAsia="zh-CN" w:bidi="ar-SA"/>
              </w:rPr>
            </w:pPr>
            <w:r>
              <w:rPr>
                <w:rFonts w:hint="default" w:ascii="Arial" w:hAnsi="Times New Roman" w:eastAsia="宋体" w:cs="Times New Roman"/>
                <w:sz w:val="21"/>
                <w:lang w:val="en-US" w:eastAsia="zh-CN"/>
              </w:rPr>
              <w:t>≥95%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center"/>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pPr>
              <w:spacing w:before="269" w:line="219" w:lineRule="auto"/>
              <w:ind w:left="71"/>
              <w:jc w:val="center"/>
              <w:rPr>
                <w:rFonts w:ascii="宋体" w:hAnsi="宋体" w:eastAsia="宋体" w:cs="宋体"/>
                <w:sz w:val="21"/>
                <w:szCs w:val="21"/>
              </w:rPr>
            </w:pPr>
            <w:r>
              <w:rPr>
                <w:rFonts w:ascii="宋体" w:hAnsi="宋体" w:eastAsia="宋体" w:cs="宋体"/>
                <w:spacing w:val="-2"/>
                <w:sz w:val="21"/>
                <w:szCs w:val="21"/>
              </w:rPr>
              <w:t>服务对象</w:t>
            </w:r>
          </w:p>
          <w:p>
            <w:pPr>
              <w:spacing w:before="60" w:line="219" w:lineRule="auto"/>
              <w:jc w:val="center"/>
              <w:rPr>
                <w:rFonts w:ascii="宋体" w:hAnsi="宋体" w:eastAsia="宋体" w:cs="宋体"/>
                <w:spacing w:val="-3"/>
                <w:sz w:val="21"/>
                <w:szCs w:val="21"/>
              </w:rPr>
            </w:pPr>
            <w:r>
              <w:rPr>
                <w:rFonts w:ascii="宋体" w:hAnsi="宋体" w:eastAsia="宋体" w:cs="宋体"/>
                <w:spacing w:val="4"/>
                <w:sz w:val="21"/>
                <w:szCs w:val="21"/>
              </w:rPr>
              <w:t>满意度</w:t>
            </w:r>
            <w:r>
              <w:rPr>
                <w:rFonts w:ascii="宋体" w:hAnsi="宋体" w:eastAsia="宋体" w:cs="宋体"/>
                <w:spacing w:val="-3"/>
                <w:sz w:val="21"/>
                <w:szCs w:val="21"/>
              </w:rPr>
              <w:t>指</w:t>
            </w:r>
          </w:p>
          <w:p>
            <w:pPr>
              <w:spacing w:before="60" w:line="219" w:lineRule="auto"/>
              <w:jc w:val="center"/>
              <w:rPr>
                <w:rFonts w:ascii="宋体" w:hAnsi="宋体" w:eastAsia="宋体" w:cs="宋体"/>
                <w:sz w:val="11"/>
                <w:szCs w:val="11"/>
              </w:rPr>
            </w:pPr>
            <w:r>
              <w:rPr>
                <w:rFonts w:ascii="宋体" w:hAnsi="宋体" w:eastAsia="宋体" w:cs="宋体"/>
                <w:spacing w:val="-3"/>
                <w:sz w:val="21"/>
                <w:szCs w:val="21"/>
              </w:rPr>
              <w:t>标</w:t>
            </w:r>
          </w:p>
        </w:tc>
        <w:tc>
          <w:tcPr>
            <w:tcW w:w="2647" w:type="dxa"/>
            <w:gridSpan w:val="2"/>
            <w:noWrap w:val="0"/>
            <w:vAlign w:val="center"/>
          </w:tcPr>
          <w:p>
            <w:pPr>
              <w:jc w:val="left"/>
              <w:rPr>
                <w:rFonts w:hint="default" w:ascii="Arial" w:eastAsia="宋体"/>
                <w:kern w:val="2"/>
                <w:sz w:val="21"/>
                <w:lang w:val="en-US" w:eastAsia="zh-CN" w:bidi="ar-SA"/>
              </w:rPr>
            </w:pPr>
            <w:r>
              <w:rPr>
                <w:rFonts w:hint="eastAsia" w:ascii="Arial"/>
                <w:sz w:val="21"/>
                <w:lang w:val="en-US" w:eastAsia="zh-CN"/>
              </w:rPr>
              <w:t>群众满意度</w:t>
            </w:r>
          </w:p>
        </w:tc>
        <w:tc>
          <w:tcPr>
            <w:tcW w:w="1458" w:type="dxa"/>
            <w:gridSpan w:val="2"/>
            <w:noWrap w:val="0"/>
            <w:vAlign w:val="center"/>
          </w:tcPr>
          <w:p>
            <w:pPr>
              <w:jc w:val="center"/>
              <w:rPr>
                <w:rFonts w:hint="default" w:ascii="Arial" w:hAnsi="Times New Roman" w:eastAsia="宋体" w:cs="Times New Roman"/>
                <w:sz w:val="21"/>
                <w:lang w:val="en-US" w:eastAsia="zh-CN"/>
              </w:rPr>
            </w:pPr>
            <w:r>
              <w:rPr>
                <w:rFonts w:hint="default" w:ascii="Arial" w:hAnsi="Times New Roman" w:eastAsia="宋体" w:cs="Times New Roman"/>
                <w:sz w:val="21"/>
                <w:lang w:val="en-US" w:eastAsia="zh-CN"/>
              </w:rPr>
              <w:t>≥95%</w:t>
            </w:r>
          </w:p>
        </w:tc>
        <w:tc>
          <w:tcPr>
            <w:tcW w:w="1318" w:type="dxa"/>
            <w:noWrap w:val="0"/>
            <w:vAlign w:val="center"/>
          </w:tcPr>
          <w:p>
            <w:pPr>
              <w:jc w:val="center"/>
              <w:rPr>
                <w:rFonts w:hint="default" w:ascii="Arial" w:hAnsi="Times New Roman" w:eastAsia="宋体" w:cs="Times New Roman"/>
                <w:kern w:val="2"/>
                <w:sz w:val="21"/>
                <w:lang w:val="en-US" w:eastAsia="zh-CN" w:bidi="ar-SA"/>
              </w:rPr>
            </w:pPr>
            <w:r>
              <w:rPr>
                <w:rFonts w:hint="default" w:ascii="Arial" w:hAnsi="Times New Roman" w:eastAsia="宋体" w:cs="Times New Roman"/>
                <w:sz w:val="21"/>
                <w:lang w:val="en-US" w:eastAsia="zh-CN"/>
              </w:rPr>
              <w:t>≥95%</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top"/>
          </w:tcPr>
          <w:p>
            <w:pPr>
              <w:rPr>
                <w:rFonts w:ascii="Arial"/>
                <w:sz w:val="21"/>
              </w:rPr>
            </w:pPr>
          </w:p>
          <w:p>
            <w:pPr>
              <w:tabs>
                <w:tab w:val="left" w:pos="3371"/>
              </w:tabs>
              <w:bidi w:val="0"/>
              <w:jc w:val="left"/>
              <w:rPr>
                <w:rFonts w:hint="default"/>
                <w:kern w:val="2"/>
                <w:sz w:val="21"/>
                <w:lang w:val="en-US" w:eastAsia="zh-CN" w:bidi="ar-SA"/>
              </w:rPr>
            </w:pPr>
            <w:r>
              <w:rPr>
                <w:rFonts w:hint="eastAsia"/>
                <w:kern w:val="2"/>
                <w:sz w:val="21"/>
                <w:lang w:val="en-US" w:eastAsia="zh-CN" w:bidi="ar-SA"/>
              </w:rPr>
              <w:tab/>
            </w:r>
            <w:r>
              <w:rPr>
                <w:rFonts w:hint="eastAsia"/>
                <w:kern w:val="2"/>
                <w:sz w:val="21"/>
                <w:lang w:val="en-US" w:eastAsia="zh-CN" w:bidi="ar-SA"/>
              </w:rPr>
              <w:t>100</w:t>
            </w:r>
          </w:p>
        </w:tc>
      </w:tr>
    </w:tbl>
    <w:p>
      <w:pPr>
        <w:rPr>
          <w:rFonts w:ascii="Arial"/>
          <w:sz w:val="21"/>
        </w:rPr>
      </w:pPr>
    </w:p>
    <w:p>
      <w:pPr>
        <w:sectPr>
          <w:footerReference r:id="rId3" w:type="default"/>
          <w:pgSz w:w="11900" w:h="16820"/>
          <w:pgMar w:top="1429" w:right="1395" w:bottom="911" w:left="1564" w:header="0" w:footer="782" w:gutter="0"/>
          <w:cols w:space="720" w:num="1"/>
        </w:sectPr>
      </w:pPr>
    </w:p>
    <w:p/>
    <w:p>
      <w:pPr>
        <w:spacing w:line="93" w:lineRule="exact"/>
      </w:pPr>
    </w:p>
    <w:tbl>
      <w:tblPr>
        <w:tblStyle w:val="9"/>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0" w:hRule="atLeast"/>
        </w:trPr>
        <w:tc>
          <w:tcPr>
            <w:tcW w:w="1523" w:type="dxa"/>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noWrap w:val="0"/>
            <w:vAlign w:val="top"/>
          </w:tcPr>
          <w:p>
            <w:pPr>
              <w:rPr>
                <w:rFonts w:hint="eastAsia" w:ascii="Arial" w:eastAsia="宋体"/>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0" w:hRule="atLeast"/>
        </w:trPr>
        <w:tc>
          <w:tcPr>
            <w:tcW w:w="1523" w:type="dxa"/>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pPr>
              <w:rPr>
                <w:rFonts w:hint="eastAsia" w:ascii="Arial" w:eastAsia="宋体"/>
                <w:sz w:val="21"/>
                <w:lang w:val="en-US" w:eastAsia="zh-CN"/>
              </w:rPr>
            </w:pPr>
            <w:r>
              <w:rPr>
                <w:rFonts w:hint="eastAsia" w:ascii="Arial"/>
                <w:sz w:val="21"/>
                <w:lang w:val="en-US" w:eastAsia="zh-CN"/>
              </w:rPr>
              <w:t>无</w:t>
            </w:r>
          </w:p>
        </w:tc>
      </w:tr>
    </w:tbl>
    <w:p>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pPr>
        <w:spacing w:before="56" w:line="219" w:lineRule="auto"/>
        <w:ind w:left="575"/>
        <w:rPr>
          <w:rFonts w:ascii="仿宋" w:hAnsi="仿宋" w:eastAsia="仿宋" w:cs="仿宋"/>
          <w:spacing w:val="-1"/>
          <w:sz w:val="21"/>
          <w:szCs w:val="21"/>
        </w:rPr>
      </w:pPr>
    </w:p>
    <w:p>
      <w:pPr>
        <w:spacing w:before="56" w:line="219" w:lineRule="auto"/>
        <w:ind w:left="575"/>
        <w:rPr>
          <w:rFonts w:ascii="仿宋" w:hAnsi="仿宋" w:eastAsia="仿宋" w:cs="仿宋"/>
          <w:spacing w:val="-1"/>
          <w:sz w:val="21"/>
          <w:szCs w:val="21"/>
        </w:rPr>
      </w:pPr>
    </w:p>
    <w:p>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object>
          <v:shape id="_x0000_i1025" o:spt="75" type="#_x0000_t75" style="height:668.65pt;width:415.95pt;" o:ole="t" filled="f" o:preferrelative="t" stroked="f" coordsize="21600,21600">
            <v:path/>
            <v:fill on="f" focussize="0,0"/>
            <v:stroke on="f"/>
            <v:imagedata r:id="rId7" o:title=""/>
            <o:lock v:ext="edit" aspectratio="f"/>
            <w10:wrap type="none"/>
            <w10:anchorlock/>
          </v:shape>
          <o:OLEObject Type="Embed" ProgID="Excel.Sheet.8" ShapeID="_x0000_i1025" DrawAspect="Content" ObjectID="_1468075725" r:id="rId6">
            <o:LockedField>false</o:LockedField>
          </o:OLEObject>
        </w:object>
      </w:r>
    </w:p>
    <w:p>
      <w:pPr>
        <w:spacing w:before="56" w:line="219" w:lineRule="auto"/>
        <w:rPr>
          <w:rFonts w:ascii="仿宋" w:hAnsi="仿宋" w:eastAsia="仿宋" w:cs="仿宋"/>
          <w:spacing w:val="-1"/>
          <w:sz w:val="21"/>
          <w:szCs w:val="21"/>
        </w:rPr>
      </w:pPr>
    </w:p>
    <w:p>
      <w:pPr>
        <w:spacing w:before="56" w:line="219" w:lineRule="auto"/>
        <w:rPr>
          <w:rFonts w:ascii="仿宋" w:hAnsi="仿宋" w:eastAsia="仿宋" w:cs="仿宋"/>
          <w:spacing w:val="-1"/>
          <w:sz w:val="21"/>
          <w:szCs w:val="21"/>
        </w:rPr>
      </w:pPr>
    </w:p>
    <w:p>
      <w:pPr>
        <w:spacing w:before="56" w:line="219" w:lineRule="auto"/>
        <w:ind w:left="575"/>
        <w:rPr>
          <w:rFonts w:ascii="仿宋" w:hAnsi="仿宋" w:eastAsia="仿宋" w:cs="仿宋"/>
          <w:spacing w:val="-1"/>
          <w:sz w:val="21"/>
          <w:szCs w:val="21"/>
        </w:rPr>
        <w:sectPr>
          <w:footerReference r:id="rId4" w:type="default"/>
          <w:type w:val="continuous"/>
          <w:pgSz w:w="11900" w:h="16820"/>
          <w:pgMar w:top="1429" w:right="1445" w:bottom="1218" w:left="1494" w:header="0" w:footer="1079" w:gutter="0"/>
          <w:cols w:space="720" w:num="1"/>
        </w:sectPr>
      </w:pPr>
      <w:r>
        <w:rPr>
          <w:rFonts w:ascii="仿宋" w:hAnsi="仿宋" w:eastAsia="仿宋" w:cs="仿宋"/>
          <w:spacing w:val="-1"/>
          <w:sz w:val="21"/>
          <w:szCs w:val="21"/>
        </w:rPr>
        <w:object>
          <v:shape id="_x0000_i1026" o:spt="75" type="#_x0000_t75" style="height:591.05pt;width:408.15pt;" o:ole="t" filled="f" o:preferrelative="t" stroked="f" coordsize="21600,21600">
            <v:path/>
            <v:fill on="f" focussize="0,0"/>
            <v:stroke on="f"/>
            <v:imagedata r:id="rId9" o:title=""/>
            <o:lock v:ext="edit" aspectratio="f"/>
            <w10:wrap type="none"/>
            <w10:anchorlock/>
          </v:shape>
          <o:OLEObject Type="Embed" ProgID="Excel.Sheet.8" ShapeID="_x0000_i1026" DrawAspect="Content" ObjectID="_1468075726" r:id="rId8">
            <o:LockedField>false</o:LockedField>
          </o:OLEObject>
        </w:object>
      </w:r>
      <w:r>
        <w:rPr>
          <w:rFonts w:ascii="仿宋" w:hAnsi="仿宋" w:eastAsia="仿宋" w:cs="仿宋"/>
          <w:spacing w:val="-1"/>
          <w:sz w:val="21"/>
          <w:szCs w:val="21"/>
        </w:rPr>
        <w:object>
          <v:shape id="_x0000_i1027" o:spt="75" type="#_x0000_t75" style="height:108.05pt;width:408.15pt;" o:ole="t" filled="f" o:preferrelative="t" stroked="f" coordsize="21600,21600">
            <v:path/>
            <v:fill on="f" focussize="0,0"/>
            <v:stroke on="f"/>
            <v:imagedata r:id="rId11" o:title=""/>
            <o:lock v:ext="edit" aspectratio="f"/>
            <w10:wrap type="none"/>
            <w10:anchorlock/>
          </v:shape>
          <o:OLEObject Type="Embed" ProgID="Excel.Sheet.8" ShapeID="_x0000_i1027" DrawAspect="Content" ObjectID="_1468075727" r:id="rId10">
            <o:LockedField>false</o:LockedField>
          </o:OLEObject>
        </w:object>
      </w:r>
    </w:p>
    <w:p>
      <w:pPr>
        <w:pStyle w:val="3"/>
        <w:keepNext w:val="0"/>
        <w:keepLines w:val="0"/>
        <w:widowControl/>
        <w:suppressLineNumbers w:val="0"/>
        <w:ind w:left="0" w:firstLine="0"/>
        <w:rPr>
          <w:rFonts w:hint="default" w:ascii="Arial" w:hAnsi="Arial" w:cs="Arial"/>
          <w:i w:val="0"/>
          <w:iCs w:val="0"/>
          <w:caps w:val="0"/>
          <w:color w:val="222222"/>
          <w:spacing w:val="0"/>
        </w:rPr>
      </w:pPr>
      <w:r>
        <w:rPr>
          <w:rFonts w:hint="default" w:ascii="Arial" w:hAnsi="Arial" w:cs="Arial"/>
          <w:i w:val="0"/>
          <w:iCs w:val="0"/>
          <w:caps w:val="0"/>
          <w:color w:val="222222"/>
          <w:spacing w:val="0"/>
        </w:rPr>
        <w:t>五、名词解释</w:t>
      </w:r>
    </w:p>
    <w:p>
      <w:pPr>
        <w:keepNext w:val="0"/>
        <w:keepLines w:val="0"/>
        <w:widowControl/>
        <w:suppressLineNumbers w:val="0"/>
        <w:ind w:left="0" w:firstLine="0"/>
        <w:jc w:val="left"/>
        <w:rPr>
          <w:rFonts w:hint="default" w:ascii="Arial" w:hAnsi="Arial" w:cs="Arial"/>
          <w:i w:val="0"/>
          <w:iCs w:val="0"/>
          <w:caps w:val="0"/>
          <w:color w:val="222222"/>
          <w:spacing w:val="0"/>
          <w:sz w:val="30"/>
          <w:szCs w:val="30"/>
        </w:rPr>
      </w:pPr>
      <w:r>
        <w:rPr>
          <w:rFonts w:hint="default" w:ascii="Arial" w:hAnsi="Arial" w:eastAsia="宋体" w:cs="Arial"/>
          <w:i w:val="0"/>
          <w:iCs w:val="0"/>
          <w:caps w:val="0"/>
          <w:color w:val="222222"/>
          <w:spacing w:val="0"/>
          <w:kern w:val="0"/>
          <w:sz w:val="30"/>
          <w:szCs w:val="30"/>
          <w:lang w:val="en-US" w:eastAsia="zh-CN" w:bidi="ar"/>
        </w:rPr>
        <w:t>一、财政拨款收入：指财政部门当年拨付的资金。</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二、事业收入：指事业单位开展专业业务活动及辅助活动所取得的收入。</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四、其他收入：指除上述“财政拨款收入”、“事业收入”、“经营收入”等以外的收入。</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六、年初结转和结余：指以前年度尚未完成、结转到本年 按有关规定继续使用的资金。</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九、基本支出：指为保障机构正常运转、完成日常工作任务而发生的人员支出和公用支出。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十、项目支出：指在基本支出之外为完成特定行政任务和事业发展目标所发生的支出。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kern w:val="0"/>
          <w:sz w:val="30"/>
          <w:szCs w:val="30"/>
          <w:lang w:val="en-US" w:eastAsia="zh-CN" w:bidi="ar"/>
        </w:rPr>
        <w:br w:type="textWrapping"/>
      </w:r>
      <w:r>
        <w:rPr>
          <w:rFonts w:hint="default" w:ascii="Arial" w:hAnsi="Arial" w:eastAsia="宋体" w:cs="Arial"/>
          <w:i w:val="0"/>
          <w:iCs w:val="0"/>
          <w:caps w:val="0"/>
          <w:color w:val="222222"/>
          <w:spacing w:val="0"/>
          <w:kern w:val="0"/>
          <w:sz w:val="30"/>
          <w:szCs w:val="30"/>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3"/>
        <w:keepNext w:val="0"/>
        <w:keepLines w:val="0"/>
        <w:widowControl/>
        <w:suppressLineNumbers w:val="0"/>
        <w:ind w:left="0" w:firstLine="0"/>
        <w:rPr>
          <w:rFonts w:hint="default" w:ascii="Arial" w:hAnsi="Arial" w:cs="Arial"/>
          <w:i w:val="0"/>
          <w:iCs w:val="0"/>
          <w:caps w:val="0"/>
          <w:color w:val="222222"/>
          <w:spacing w:val="0"/>
        </w:rPr>
      </w:pPr>
    </w:p>
    <w:p>
      <w:pPr>
        <w:pStyle w:val="3"/>
        <w:keepNext w:val="0"/>
        <w:keepLines w:val="0"/>
        <w:widowControl/>
        <w:suppressLineNumbers w:val="0"/>
        <w:ind w:left="0" w:firstLine="0"/>
        <w:rPr>
          <w:rFonts w:hint="default" w:ascii="Arial" w:hAnsi="Arial" w:cs="Arial"/>
          <w:i w:val="0"/>
          <w:iCs w:val="0"/>
          <w:caps w:val="0"/>
          <w:color w:val="222222"/>
          <w:spacing w:val="0"/>
        </w:rPr>
      </w:pPr>
    </w:p>
    <w:p>
      <w:pPr>
        <w:pStyle w:val="3"/>
        <w:keepNext w:val="0"/>
        <w:keepLines w:val="0"/>
        <w:widowControl/>
        <w:suppressLineNumbers w:val="0"/>
        <w:ind w:left="0" w:firstLine="0"/>
        <w:rPr>
          <w:rFonts w:hint="default" w:ascii="Arial" w:hAnsi="Arial" w:cs="Arial"/>
          <w:i w:val="0"/>
          <w:iCs w:val="0"/>
          <w:caps w:val="0"/>
          <w:color w:val="222222"/>
          <w:spacing w:val="0"/>
        </w:rPr>
      </w:pPr>
      <w:r>
        <w:rPr>
          <w:rFonts w:hint="default" w:ascii="Arial" w:hAnsi="Arial" w:cs="Arial"/>
          <w:i w:val="0"/>
          <w:iCs w:val="0"/>
          <w:caps w:val="0"/>
          <w:color w:val="222222"/>
          <w:spacing w:val="0"/>
        </w:rPr>
        <w:t>六、部门2021年部门决算表</w:t>
      </w:r>
    </w:p>
    <w:p>
      <w:pPr>
        <w:rPr>
          <w:rFonts w:hint="eastAsia" w:ascii="Arial" w:hAnsi="Arial" w:cs="Arial" w:eastAsiaTheme="minorEastAsia"/>
          <w:i w:val="0"/>
          <w:iCs w:val="0"/>
          <w:caps w:val="0"/>
          <w:color w:val="222222"/>
          <w:spacing w:val="0"/>
          <w:lang w:eastAsia="zh-CN"/>
        </w:rPr>
      </w:pPr>
      <w:r>
        <w:rPr>
          <w:rFonts w:hint="eastAsia" w:ascii="Arial" w:hAnsi="Arial" w:cs="Arial" w:eastAsiaTheme="minorEastAsia"/>
          <w:i w:val="0"/>
          <w:iCs w:val="0"/>
          <w:caps w:val="0"/>
          <w:color w:val="222222"/>
          <w:spacing w:val="0"/>
          <w:lang w:eastAsia="zh-CN"/>
        </w:rPr>
        <w:drawing>
          <wp:inline distT="0" distB="0" distL="114300" distR="114300">
            <wp:extent cx="5273675" cy="4293870"/>
            <wp:effectExtent l="0" t="0" r="9525" b="11430"/>
            <wp:docPr id="1" name="图片 1" descr="公开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开表1"/>
                    <pic:cNvPicPr>
                      <a:picLocks noChangeAspect="1"/>
                    </pic:cNvPicPr>
                  </pic:nvPicPr>
                  <pic:blipFill>
                    <a:blip r:embed="rId12"/>
                    <a:stretch>
                      <a:fillRect/>
                    </a:stretch>
                  </pic:blipFill>
                  <pic:spPr>
                    <a:xfrm>
                      <a:off x="0" y="0"/>
                      <a:ext cx="5273675" cy="4293870"/>
                    </a:xfrm>
                    <a:prstGeom prst="rect">
                      <a:avLst/>
                    </a:prstGeom>
                  </pic:spPr>
                </pic:pic>
              </a:graphicData>
            </a:graphic>
          </wp:inline>
        </w:drawing>
      </w:r>
    </w:p>
    <w:p>
      <w:pPr>
        <w:rPr>
          <w:rFonts w:hint="eastAsia" w:ascii="Arial" w:hAnsi="Arial" w:cs="Arial" w:eastAsiaTheme="minorEastAsia"/>
          <w:i w:val="0"/>
          <w:iCs w:val="0"/>
          <w:caps w:val="0"/>
          <w:color w:val="222222"/>
          <w:spacing w:val="0"/>
          <w:lang w:eastAsia="zh-CN"/>
        </w:rPr>
      </w:pPr>
    </w:p>
    <w:p>
      <w:pPr>
        <w:rPr>
          <w:rFonts w:ascii="Arial" w:hAnsi="Arial" w:eastAsia="宋体" w:cs="Arial"/>
          <w:i w:val="0"/>
          <w:iCs w:val="0"/>
          <w:caps w:val="0"/>
          <w:color w:val="222222"/>
          <w:spacing w:val="0"/>
          <w:sz w:val="12"/>
          <w:szCs w:val="12"/>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66690" cy="2383155"/>
            <wp:effectExtent l="0" t="0" r="3810" b="4445"/>
            <wp:docPr id="2" name="图片 2" descr="公开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开表2"/>
                    <pic:cNvPicPr>
                      <a:picLocks noChangeAspect="1"/>
                    </pic:cNvPicPr>
                  </pic:nvPicPr>
                  <pic:blipFill>
                    <a:blip r:embed="rId13"/>
                    <a:stretch>
                      <a:fillRect/>
                    </a:stretch>
                  </pic:blipFill>
                  <pic:spPr>
                    <a:xfrm>
                      <a:off x="0" y="0"/>
                      <a:ext cx="5266690" cy="2383155"/>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p>
    <w:p>
      <w:pPr>
        <w:rPr>
          <w:rFonts w:ascii="Arial" w:hAnsi="Arial" w:eastAsia="宋体" w:cs="Arial"/>
          <w:i w:val="0"/>
          <w:iCs w:val="0"/>
          <w:caps w:val="0"/>
          <w:color w:val="222222"/>
          <w:spacing w:val="0"/>
          <w:sz w:val="12"/>
          <w:szCs w:val="12"/>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62245" cy="2621280"/>
            <wp:effectExtent l="0" t="0" r="8255" b="7620"/>
            <wp:docPr id="3" name="图片 3" descr="公开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开表3"/>
                    <pic:cNvPicPr>
                      <a:picLocks noChangeAspect="1"/>
                    </pic:cNvPicPr>
                  </pic:nvPicPr>
                  <pic:blipFill>
                    <a:blip r:embed="rId14"/>
                    <a:stretch>
                      <a:fillRect/>
                    </a:stretch>
                  </pic:blipFill>
                  <pic:spPr>
                    <a:xfrm>
                      <a:off x="0" y="0"/>
                      <a:ext cx="5262245" cy="2621280"/>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64150" cy="3783965"/>
            <wp:effectExtent l="0" t="0" r="6350" b="635"/>
            <wp:docPr id="4" name="图片 4" descr="公开表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开表4"/>
                    <pic:cNvPicPr>
                      <a:picLocks noChangeAspect="1"/>
                    </pic:cNvPicPr>
                  </pic:nvPicPr>
                  <pic:blipFill>
                    <a:blip r:embed="rId15"/>
                    <a:stretch>
                      <a:fillRect/>
                    </a:stretch>
                  </pic:blipFill>
                  <pic:spPr>
                    <a:xfrm>
                      <a:off x="0" y="0"/>
                      <a:ext cx="5264150" cy="3783965"/>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66690" cy="3784600"/>
            <wp:effectExtent l="0" t="0" r="3810" b="0"/>
            <wp:docPr id="5" name="图片 5" descr="公开表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开表5"/>
                    <pic:cNvPicPr>
                      <a:picLocks noChangeAspect="1"/>
                    </pic:cNvPicPr>
                  </pic:nvPicPr>
                  <pic:blipFill>
                    <a:blip r:embed="rId16"/>
                    <a:stretch>
                      <a:fillRect/>
                    </a:stretch>
                  </pic:blipFill>
                  <pic:spPr>
                    <a:xfrm>
                      <a:off x="0" y="0"/>
                      <a:ext cx="5266690" cy="3784600"/>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73675" cy="3036570"/>
            <wp:effectExtent l="0" t="0" r="9525" b="11430"/>
            <wp:docPr id="6" name="图片 6" descr="公开表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开表6"/>
                    <pic:cNvPicPr>
                      <a:picLocks noChangeAspect="1"/>
                    </pic:cNvPicPr>
                  </pic:nvPicPr>
                  <pic:blipFill>
                    <a:blip r:embed="rId17"/>
                    <a:stretch>
                      <a:fillRect/>
                    </a:stretch>
                  </pic:blipFill>
                  <pic:spPr>
                    <a:xfrm>
                      <a:off x="0" y="0"/>
                      <a:ext cx="5273675" cy="3036570"/>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73040" cy="1039495"/>
            <wp:effectExtent l="0" t="0" r="10160" b="1905"/>
            <wp:docPr id="7" name="图片 7" descr="公开表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开表7"/>
                    <pic:cNvPicPr>
                      <a:picLocks noChangeAspect="1"/>
                    </pic:cNvPicPr>
                  </pic:nvPicPr>
                  <pic:blipFill>
                    <a:blip r:embed="rId18"/>
                    <a:stretch>
                      <a:fillRect/>
                    </a:stretch>
                  </pic:blipFill>
                  <pic:spPr>
                    <a:xfrm>
                      <a:off x="0" y="0"/>
                      <a:ext cx="5273040" cy="1039495"/>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p>
    <w:p>
      <w:pPr>
        <w:rPr>
          <w:rFonts w:hint="eastAsia" w:ascii="Arial" w:hAnsi="Arial" w:eastAsia="宋体" w:cs="Arial"/>
          <w:i w:val="0"/>
          <w:iCs w:val="0"/>
          <w:caps w:val="0"/>
          <w:color w:val="222222"/>
          <w:spacing w:val="0"/>
          <w:sz w:val="12"/>
          <w:szCs w:val="12"/>
          <w:lang w:eastAsia="zh-CN"/>
        </w:rPr>
      </w:pP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67325" cy="1253490"/>
            <wp:effectExtent l="0" t="0" r="3175" b="3810"/>
            <wp:docPr id="8" name="图片 8" descr="`BO@JHO0SMZTB75UNTF$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O@JHO0SMZTB75UNTF$K[R"/>
                    <pic:cNvPicPr>
                      <a:picLocks noChangeAspect="1"/>
                    </pic:cNvPicPr>
                  </pic:nvPicPr>
                  <pic:blipFill>
                    <a:blip r:embed="rId19"/>
                    <a:stretch>
                      <a:fillRect/>
                    </a:stretch>
                  </pic:blipFill>
                  <pic:spPr>
                    <a:xfrm>
                      <a:off x="0" y="0"/>
                      <a:ext cx="5267325" cy="1253490"/>
                    </a:xfrm>
                    <a:prstGeom prst="rect">
                      <a:avLst/>
                    </a:prstGeom>
                  </pic:spPr>
                </pic:pic>
              </a:graphicData>
            </a:graphic>
          </wp:inline>
        </w:drawing>
      </w:r>
    </w:p>
    <w:p>
      <w:pPr>
        <w:rPr>
          <w:rFonts w:hint="eastAsia" w:ascii="Arial" w:hAnsi="Arial" w:eastAsia="宋体" w:cs="Arial"/>
          <w:i w:val="0"/>
          <w:iCs w:val="0"/>
          <w:caps w:val="0"/>
          <w:color w:val="222222"/>
          <w:spacing w:val="0"/>
          <w:sz w:val="12"/>
          <w:szCs w:val="12"/>
          <w:lang w:eastAsia="zh-CN"/>
        </w:rPr>
      </w:pPr>
      <w:r>
        <w:rPr>
          <w:rFonts w:hint="eastAsia" w:ascii="Arial" w:hAnsi="Arial" w:eastAsia="宋体" w:cs="Arial"/>
          <w:i w:val="0"/>
          <w:iCs w:val="0"/>
          <w:caps w:val="0"/>
          <w:color w:val="222222"/>
          <w:spacing w:val="0"/>
          <w:sz w:val="12"/>
          <w:szCs w:val="12"/>
          <w:lang w:eastAsia="zh-CN"/>
        </w:rPr>
        <w:drawing>
          <wp:inline distT="0" distB="0" distL="114300" distR="114300">
            <wp:extent cx="5270500" cy="1898015"/>
            <wp:effectExtent l="0" t="0" r="0" b="6985"/>
            <wp:docPr id="9" name="图片 9" descr="(@876GM3SQC8NN5X8NVRW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76GM3SQC8NN5X8NVRWLI"/>
                    <pic:cNvPicPr>
                      <a:picLocks noChangeAspect="1"/>
                    </pic:cNvPicPr>
                  </pic:nvPicPr>
                  <pic:blipFill>
                    <a:blip r:embed="rId20"/>
                    <a:stretch>
                      <a:fillRect/>
                    </a:stretch>
                  </pic:blipFill>
                  <pic:spPr>
                    <a:xfrm>
                      <a:off x="0" y="0"/>
                      <a:ext cx="5270500" cy="18980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35"/>
      <w:rPr>
        <w:rFonts w:ascii="宋体" w:hAnsi="宋体" w:eastAsia="宋体" w:cs="宋体"/>
        <w:sz w:val="13"/>
        <w:szCs w:val="13"/>
      </w:rPr>
    </w:pPr>
    <w:r>
      <w:rPr>
        <w:rFonts w:ascii="宋体" w:hAnsi="宋体" w:eastAsia="宋体" w:cs="宋体"/>
        <w:spacing w:val="-4"/>
        <w:sz w:val="13"/>
        <w:szCs w:val="13"/>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35"/>
      <w:rPr>
        <w:rFonts w:ascii="宋体" w:hAnsi="宋体" w:eastAsia="宋体" w:cs="宋体"/>
        <w:sz w:val="14"/>
        <w:szCs w:val="14"/>
      </w:rPr>
    </w:pPr>
    <w:r>
      <w:rPr>
        <w:rFonts w:ascii="宋体" w:hAnsi="宋体" w:eastAsia="宋体" w:cs="宋体"/>
        <w:sz w:val="14"/>
        <w:szCs w:val="14"/>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50CF"/>
    <w:multiLevelType w:val="singleLevel"/>
    <w:tmpl w:val="CE0650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00172A27"/>
    <w:rsid w:val="02193DAF"/>
    <w:rsid w:val="0B446AEB"/>
    <w:rsid w:val="0FD1261B"/>
    <w:rsid w:val="17A163F7"/>
    <w:rsid w:val="184077F2"/>
    <w:rsid w:val="1CDF70FE"/>
    <w:rsid w:val="2348445C"/>
    <w:rsid w:val="3F5F0672"/>
    <w:rsid w:val="406C56BF"/>
    <w:rsid w:val="4D0007BD"/>
    <w:rsid w:val="57224768"/>
    <w:rsid w:val="5CFF6DA7"/>
    <w:rsid w:val="641C50CD"/>
    <w:rsid w:val="7311365A"/>
    <w:rsid w:val="789D3564"/>
    <w:rsid w:val="7AFB519F"/>
    <w:rsid w:val="7AFD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Strong"/>
    <w:basedOn w:val="7"/>
    <w:qFormat/>
    <w:uiPriority w:val="0"/>
    <w:rPr>
      <w:b/>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7100</Words>
  <Characters>7981</Characters>
  <Lines>0</Lines>
  <Paragraphs>0</Paragraphs>
  <TotalTime>3</TotalTime>
  <ScaleCrop>false</ScaleCrop>
  <LinksUpToDate>false</LinksUpToDate>
  <CharactersWithSpaces>8132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2023-07-21T05:13:00Z</dcterms:created>
  <dc:creator>Admin</dc:creator>
  <cp:lastModifiedBy>墨墨</cp:lastModifiedBy>
  <dcterms:modified xsi:type="dcterms:W3CDTF">2023-08-18T06:22:10Z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1E69F64AE5F64B38AD1827D6E8BF1DB5_12</vt:lpwstr>
  </property>
</Properties>
</file>