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下陆区残联2021年决算公开</w:t>
      </w:r>
    </w:p>
    <w:p>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0"/>
          <w:szCs w:val="30"/>
          <w:shd w:val="clear" w:color="auto" w:fill="FFFFFF"/>
        </w:rPr>
        <w:t>目 　　 录</w:t>
      </w:r>
    </w:p>
    <w:p>
      <w:pPr>
        <w:widowControl/>
        <w:shd w:val="clear" w:color="auto" w:fill="FFFFFF"/>
        <w:spacing w:before="300" w:line="420" w:lineRule="atLeast"/>
        <w:jc w:val="left"/>
        <w:rPr>
          <w:rFonts w:ascii="Arial" w:hAnsi="Arial" w:cs="Arial"/>
          <w:color w:val="000000"/>
          <w:szCs w:val="21"/>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 一、部门主要职责</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 二、部门机构设置情况</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一、收入支出决算总表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二、收入决算表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四、财政拨款收入支出决算总表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五、一般公共预算财政拨款支出决算表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六、一般公共预算财政拨款基本支出决算表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七、一般公共预算财政拨款“三公”经费支出决算表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八、政府性基金预算财政拨款收入支出决算表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九、国有资本经营预算财政拨款支出决算表</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一、收支总体情况说明</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二、决算收入</w:t>
      </w:r>
      <w:r>
        <w:rPr>
          <w:rFonts w:hint="eastAsia" w:ascii="Arial" w:hAnsi="Arial" w:eastAsia="宋体" w:cs="Arial"/>
          <w:i w:val="0"/>
          <w:caps w:val="0"/>
          <w:color w:val="000000"/>
          <w:spacing w:val="0"/>
          <w:sz w:val="27"/>
          <w:szCs w:val="27"/>
          <w:shd w:val="clear" w:fill="FFFFFF"/>
        </w:rPr>
        <w:t>支出</w:t>
      </w:r>
      <w:r>
        <w:rPr>
          <w:rFonts w:hint="default" w:ascii="Arial" w:hAnsi="Arial" w:eastAsia="宋体" w:cs="Arial"/>
          <w:i w:val="0"/>
          <w:caps w:val="0"/>
          <w:color w:val="000000"/>
          <w:spacing w:val="0"/>
          <w:sz w:val="27"/>
          <w:szCs w:val="27"/>
          <w:shd w:val="clear" w:fill="FFFFFF"/>
        </w:rPr>
        <w:t>增减变化情况说明</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三、财政拨款收入支出决算情况说明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四</w:t>
      </w:r>
      <w:r>
        <w:rPr>
          <w:rFonts w:hint="default" w:ascii="Arial" w:hAnsi="Arial" w:eastAsia="宋体" w:cs="Arial"/>
          <w:i w:val="0"/>
          <w:caps w:val="0"/>
          <w:color w:val="000000"/>
          <w:spacing w:val="0"/>
          <w:sz w:val="27"/>
          <w:szCs w:val="27"/>
          <w:shd w:val="clear" w:fill="FFFFFF"/>
        </w:rPr>
        <w:t>、一般公共预算财政拨款支出决算情况说明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五</w:t>
      </w:r>
      <w:r>
        <w:rPr>
          <w:rFonts w:hint="default" w:ascii="Arial" w:hAnsi="Arial" w:eastAsia="宋体" w:cs="Arial"/>
          <w:i w:val="0"/>
          <w:caps w:val="0"/>
          <w:color w:val="000000"/>
          <w:spacing w:val="0"/>
          <w:sz w:val="27"/>
          <w:szCs w:val="27"/>
          <w:shd w:val="clear" w:fill="FFFFFF"/>
        </w:rPr>
        <w:t>、一般公共预算财政拨款基本支出决算情况说明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六</w:t>
      </w:r>
      <w:r>
        <w:rPr>
          <w:rFonts w:hint="default" w:ascii="Arial" w:hAnsi="Arial" w:eastAsia="宋体" w:cs="Arial"/>
          <w:i w:val="0"/>
          <w:caps w:val="0"/>
          <w:color w:val="000000"/>
          <w:spacing w:val="0"/>
          <w:sz w:val="27"/>
          <w:szCs w:val="27"/>
          <w:shd w:val="clear" w:fill="FFFFFF"/>
        </w:rPr>
        <w:t>、一般公共预算财政拨款“三公”经费支出决算情况说明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七</w:t>
      </w:r>
      <w:r>
        <w:rPr>
          <w:rFonts w:hint="default" w:ascii="Arial" w:hAnsi="Arial" w:eastAsia="宋体" w:cs="Arial"/>
          <w:i w:val="0"/>
          <w:caps w:val="0"/>
          <w:color w:val="000000"/>
          <w:spacing w:val="0"/>
          <w:sz w:val="27"/>
          <w:szCs w:val="27"/>
          <w:shd w:val="clear" w:fill="FFFFFF"/>
        </w:rPr>
        <w:t>、机关运行费执行情况说明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八</w:t>
      </w:r>
      <w:r>
        <w:rPr>
          <w:rFonts w:hint="default" w:ascii="Arial" w:hAnsi="Arial" w:eastAsia="宋体" w:cs="Arial"/>
          <w:i w:val="0"/>
          <w:caps w:val="0"/>
          <w:color w:val="000000"/>
          <w:spacing w:val="0"/>
          <w:sz w:val="27"/>
          <w:szCs w:val="27"/>
          <w:shd w:val="clear" w:fill="FFFFFF"/>
        </w:rPr>
        <w:t>、政府采购支出情况说明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九</w:t>
      </w:r>
      <w:r>
        <w:rPr>
          <w:rFonts w:hint="default" w:ascii="Arial" w:hAnsi="Arial" w:eastAsia="宋体" w:cs="Arial"/>
          <w:i w:val="0"/>
          <w:caps w:val="0"/>
          <w:color w:val="000000"/>
          <w:spacing w:val="0"/>
          <w:sz w:val="27"/>
          <w:szCs w:val="27"/>
          <w:shd w:val="clear" w:fill="FFFFFF"/>
        </w:rPr>
        <w:t>、国有资产占用情况说明</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十、其他情况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w:t>
      </w:r>
      <w:r>
        <w:rPr>
          <w:rFonts w:hint="eastAsia" w:ascii="Arial" w:hAnsi="Arial" w:eastAsia="宋体" w:cs="Arial"/>
          <w:i w:val="0"/>
          <w:caps w:val="0"/>
          <w:color w:val="000000"/>
          <w:spacing w:val="0"/>
          <w:sz w:val="27"/>
          <w:szCs w:val="27"/>
          <w:shd w:val="clear" w:fill="FFFFFF"/>
        </w:rPr>
        <w:t>一</w:t>
      </w:r>
      <w:r>
        <w:rPr>
          <w:rFonts w:hint="default" w:ascii="Arial" w:hAnsi="Arial" w:eastAsia="宋体" w:cs="Arial"/>
          <w:i w:val="0"/>
          <w:caps w:val="0"/>
          <w:color w:val="000000"/>
          <w:spacing w:val="0"/>
          <w:sz w:val="27"/>
          <w:szCs w:val="27"/>
          <w:shd w:val="clear" w:fill="FFFFFF"/>
        </w:rPr>
        <w:t>、预算绩效情况说明</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第四部分、名词解释</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pPr>
        <w:rPr>
          <w:rFonts w:ascii="Arial" w:hAnsi="Arial" w:eastAsia="宋体" w:cs="Arial"/>
          <w:color w:val="000000"/>
          <w:kern w:val="0"/>
          <w:szCs w:val="21"/>
          <w:shd w:val="clear" w:color="auto" w:fill="FFFFFF"/>
        </w:rPr>
      </w:pPr>
    </w:p>
    <w:p>
      <w:pPr>
        <w:rPr>
          <w:rFonts w:ascii="Arial" w:hAnsi="Arial" w:eastAsia="宋体" w:cs="Arial"/>
          <w:color w:val="000000"/>
          <w:kern w:val="0"/>
          <w:szCs w:val="21"/>
          <w:shd w:val="clear" w:color="auto" w:fill="FFFFFF"/>
        </w:rPr>
      </w:pPr>
    </w:p>
    <w:p>
      <w:pPr>
        <w:keepNext w:val="0"/>
        <w:keepLines w:val="0"/>
        <w:widowControl/>
        <w:suppressLineNumbers w:val="0"/>
        <w:jc w:val="left"/>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一、部门主要职责</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1、准确调查、掌握残疾人的状况和需求，建档立卡。</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2、核发《中华人民共和国残疾人证》。</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3、密切联系残疾人，听取意见，反映要求，排忧解难。</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4、宣传、贯彻残疾人保障法和有关残疾人事业的法规，维护残疾人的合法权益。</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5、团结、教育残疾人，遵守法律，履行义务，乐观进取，自尊、自信、自强、自立。</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6、宣传残疾人事业，沟通政府与残疾人联系，动员社会理解、尊重、关心、帮助残疾人。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7、协助政府研究、制定和实施残疾人事业的法规、政策和计划，优惠残疾人的措施，发展和管理残疾人事业。</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8、开展残疾人康复、教育、劳动就业、技能培训、社会保障、文化、体育等工作，促进残疾人“平等参与共享”。</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9、承办上级交办的其他事项。</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二、部门机构设置情况</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1、机构设置情况：下陆区残疾人联合会只归属管理本级单位。</w:t>
      </w:r>
      <w:r>
        <w:rPr>
          <w:rFonts w:hint="eastAsia" w:ascii="Arial" w:hAnsi="Arial" w:eastAsia="宋体" w:cs="Arial"/>
          <w:i w:val="0"/>
          <w:caps w:val="0"/>
          <w:color w:val="000000"/>
          <w:spacing w:val="0"/>
          <w:sz w:val="27"/>
          <w:szCs w:val="27"/>
          <w:shd w:val="clear" w:fill="FFFFFF"/>
        </w:rPr>
        <w:t>本单位</w:t>
      </w:r>
      <w:r>
        <w:rPr>
          <w:rFonts w:hint="default" w:ascii="Arial" w:hAnsi="Arial" w:eastAsia="宋体" w:cs="Arial"/>
          <w:i w:val="0"/>
          <w:caps w:val="0"/>
          <w:color w:val="000000"/>
          <w:spacing w:val="0"/>
          <w:sz w:val="27"/>
          <w:szCs w:val="27"/>
          <w:shd w:val="clear" w:fill="FFFFFF"/>
        </w:rPr>
        <w:t>内</w:t>
      </w:r>
      <w:r>
        <w:rPr>
          <w:rFonts w:hint="eastAsia" w:ascii="Arial" w:hAnsi="Arial" w:eastAsia="宋体" w:cs="Arial"/>
          <w:i w:val="0"/>
          <w:caps w:val="0"/>
          <w:color w:val="000000"/>
          <w:spacing w:val="0"/>
          <w:sz w:val="27"/>
          <w:szCs w:val="27"/>
          <w:shd w:val="clear" w:fill="FFFFFF"/>
        </w:rPr>
        <w:t>设置</w:t>
      </w:r>
      <w:r>
        <w:rPr>
          <w:rFonts w:hint="default" w:ascii="Arial" w:hAnsi="Arial" w:eastAsia="宋体" w:cs="Arial"/>
          <w:i w:val="0"/>
          <w:caps w:val="0"/>
          <w:color w:val="000000"/>
          <w:spacing w:val="0"/>
          <w:sz w:val="27"/>
          <w:szCs w:val="27"/>
          <w:shd w:val="clear" w:fill="FFFFFF"/>
        </w:rPr>
        <w:t>办公室</w:t>
      </w:r>
      <w:r>
        <w:rPr>
          <w:rFonts w:hint="eastAsia" w:ascii="Arial" w:hAnsi="Arial" w:eastAsia="宋体" w:cs="Arial"/>
          <w:i w:val="0"/>
          <w:caps w:val="0"/>
          <w:color w:val="000000"/>
          <w:spacing w:val="0"/>
          <w:sz w:val="27"/>
          <w:szCs w:val="27"/>
          <w:shd w:val="clear" w:fill="FFFFFF"/>
        </w:rPr>
        <w:t>、综合科、</w:t>
      </w:r>
      <w:r>
        <w:rPr>
          <w:rFonts w:hint="default" w:ascii="Arial" w:hAnsi="Arial" w:eastAsia="宋体" w:cs="Arial"/>
          <w:i w:val="0"/>
          <w:caps w:val="0"/>
          <w:color w:val="000000"/>
          <w:spacing w:val="0"/>
          <w:sz w:val="27"/>
          <w:szCs w:val="27"/>
          <w:shd w:val="clear" w:fill="FFFFFF"/>
        </w:rPr>
        <w:t>财务室</w:t>
      </w:r>
      <w:r>
        <w:rPr>
          <w:rFonts w:hint="eastAsia" w:ascii="Arial" w:hAnsi="Arial" w:eastAsia="宋体" w:cs="Arial"/>
          <w:i w:val="0"/>
          <w:caps w:val="0"/>
          <w:color w:val="000000"/>
          <w:spacing w:val="0"/>
          <w:sz w:val="27"/>
          <w:szCs w:val="27"/>
          <w:shd w:val="clear" w:fill="FFFFFF"/>
        </w:rPr>
        <w:t>等内设科室</w:t>
      </w:r>
      <w:r>
        <w:rPr>
          <w:rFonts w:hint="default" w:ascii="Arial" w:hAnsi="Arial" w:eastAsia="宋体" w:cs="Arial"/>
          <w:i w:val="0"/>
          <w:caps w:val="0"/>
          <w:color w:val="000000"/>
          <w:spacing w:val="0"/>
          <w:sz w:val="27"/>
          <w:szCs w:val="27"/>
          <w:shd w:val="clear" w:fill="FFFFFF"/>
        </w:rPr>
        <w:t>。</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2、编制情况：下陆区残疾人联合会核定编制数为2名，其中行政编2名，事业编制0名。2021年年末在职在编人员3人，区聘0人，退伍安置0人，退休人员2人（已全部转入机关事业单位养老保险发放养老金）。</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Style w:val="8"/>
          <w:rFonts w:ascii="Arial" w:hAnsi="Arial" w:eastAsia="宋体" w:cs="Arial"/>
          <w:color w:val="000000"/>
          <w:kern w:val="0"/>
          <w:szCs w:val="21"/>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472555"/>
            <wp:effectExtent l="0" t="0" r="12065" b="444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760085" cy="647255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05125"/>
            <wp:effectExtent l="0" t="0" r="12065" b="952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5760085" cy="290512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80690"/>
            <wp:effectExtent l="0" t="0" r="12065" b="1016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6"/>
                    <a:stretch>
                      <a:fillRect/>
                    </a:stretch>
                  </pic:blipFill>
                  <pic:spPr>
                    <a:xfrm>
                      <a:off x="0" y="0"/>
                      <a:ext cx="5760085" cy="2980690"/>
                    </a:xfrm>
                    <a:prstGeom prst="rect">
                      <a:avLst/>
                    </a:prstGeom>
                    <a:noFill/>
                    <a:ln w="9525">
                      <a:noFill/>
                    </a:ln>
                  </pic:spPr>
                </pic:pic>
              </a:graphicData>
            </a:graphic>
          </wp:inline>
        </w:drawing>
      </w:r>
    </w:p>
    <w:p>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536565"/>
            <wp:effectExtent l="0" t="0" r="12065" b="698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7"/>
                    <a:stretch>
                      <a:fillRect/>
                    </a:stretch>
                  </pic:blipFill>
                  <pic:spPr>
                    <a:xfrm>
                      <a:off x="0" y="0"/>
                      <a:ext cx="5760085" cy="5536565"/>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639060"/>
            <wp:effectExtent l="0" t="0" r="12065" b="8890"/>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8"/>
                    <a:stretch>
                      <a:fillRect/>
                    </a:stretch>
                  </pic:blipFill>
                  <pic:spPr>
                    <a:xfrm>
                      <a:off x="0" y="0"/>
                      <a:ext cx="5760085" cy="2639060"/>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424680"/>
            <wp:effectExtent l="0" t="0" r="12065" b="13970"/>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9"/>
                    <a:stretch>
                      <a:fillRect/>
                    </a:stretch>
                  </pic:blipFill>
                  <pic:spPr>
                    <a:xfrm>
                      <a:off x="0" y="0"/>
                      <a:ext cx="5760085" cy="4424680"/>
                    </a:xfrm>
                    <a:prstGeom prst="rect">
                      <a:avLst/>
                    </a:prstGeom>
                    <a:noFill/>
                    <a:ln w="9525">
                      <a:noFill/>
                    </a:ln>
                  </pic:spPr>
                </pic:pic>
              </a:graphicData>
            </a:graphic>
          </wp:inline>
        </w:drawing>
      </w:r>
    </w:p>
    <w:p>
      <w:pPr>
        <w:keepNext w:val="0"/>
        <w:keepLines w:val="0"/>
        <w:widowControl/>
        <w:suppressLineNumbers w:val="0"/>
        <w:jc w:val="left"/>
      </w:pPr>
      <w:r>
        <w:rPr>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548130"/>
            <wp:effectExtent l="0" t="0" r="12065" b="13970"/>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10"/>
                    <a:stretch>
                      <a:fillRect/>
                    </a:stretch>
                  </pic:blipFill>
                  <pic:spPr>
                    <a:xfrm>
                      <a:off x="0" y="0"/>
                      <a:ext cx="5760085" cy="1548130"/>
                    </a:xfrm>
                    <a:prstGeom prst="rect">
                      <a:avLst/>
                    </a:prstGeom>
                    <a:noFill/>
                    <a:ln w="9525">
                      <a:noFill/>
                    </a:ln>
                  </pic:spPr>
                </pic:pic>
              </a:graphicData>
            </a:graphic>
          </wp:inline>
        </w:drawing>
      </w:r>
    </w:p>
    <w:p>
      <w:pPr>
        <w:keepNext w:val="0"/>
        <w:keepLines w:val="0"/>
        <w:widowControl/>
        <w:suppressLineNumbers w:val="0"/>
        <w:jc w:val="left"/>
      </w:pPr>
      <w:r>
        <w:rPr>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986915"/>
            <wp:effectExtent l="0" t="0" r="12065" b="13335"/>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11"/>
                    <a:stretch>
                      <a:fillRect/>
                    </a:stretch>
                  </pic:blipFill>
                  <pic:spPr>
                    <a:xfrm>
                      <a:off x="0" y="0"/>
                      <a:ext cx="5760085" cy="1986915"/>
                    </a:xfrm>
                    <a:prstGeom prst="rect">
                      <a:avLst/>
                    </a:prstGeom>
                    <a:noFill/>
                    <a:ln w="9525">
                      <a:noFill/>
                    </a:ln>
                  </pic:spPr>
                </pic:pic>
              </a:graphicData>
            </a:graphic>
          </wp:inline>
        </w:drawing>
      </w:r>
    </w:p>
    <w:p>
      <w:pPr>
        <w:rPr>
          <w:rFonts w:hint="default" w:ascii="Arial" w:hAnsi="Arial" w:eastAsia="宋体" w:cs="Arial"/>
          <w:i w:val="0"/>
          <w:caps w:val="0"/>
          <w:color w:val="000000"/>
          <w:spacing w:val="0"/>
          <w:sz w:val="21"/>
          <w:szCs w:val="21"/>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797175"/>
            <wp:effectExtent l="0" t="0" r="12065" b="3175"/>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2"/>
                    <a:stretch>
                      <a:fillRect/>
                    </a:stretch>
                  </pic:blipFill>
                  <pic:spPr>
                    <a:xfrm>
                      <a:off x="0" y="0"/>
                      <a:ext cx="5760085" cy="2797175"/>
                    </a:xfrm>
                    <a:prstGeom prst="rect">
                      <a:avLst/>
                    </a:prstGeom>
                    <a:noFill/>
                    <a:ln w="9525">
                      <a:noFill/>
                    </a:ln>
                  </pic:spPr>
                </pic:pic>
              </a:graphicData>
            </a:graphic>
          </wp:inline>
        </w:drawing>
      </w:r>
    </w:p>
    <w:p>
      <w:pPr>
        <w:rPr>
          <w:rFonts w:hint="eastAsia" w:ascii="Arial" w:hAnsi="Arial" w:eastAsia="宋体" w:cs="Arial"/>
          <w:i w:val="0"/>
          <w:caps w:val="0"/>
          <w:color w:val="000000"/>
          <w:spacing w:val="0"/>
          <w:sz w:val="27"/>
          <w:szCs w:val="27"/>
          <w:shd w:val="clear" w:fill="FFFFFF"/>
          <w:lang w:val="en-US" w:eastAsia="zh-CN"/>
        </w:rPr>
      </w:pPr>
      <w:r>
        <w:rPr>
          <w:rStyle w:val="8"/>
          <w:rFonts w:ascii="Arial" w:hAnsi="Arial" w:eastAsia="宋体" w:cs="Arial"/>
          <w:color w:val="000000"/>
          <w:kern w:val="0"/>
          <w:szCs w:val="21"/>
          <w:shd w:val="clear" w:color="auto" w:fill="FFFFFF"/>
        </w:rPr>
        <w:br w:type="textWrapping"/>
      </w:r>
      <w:r>
        <w:rPr>
          <w:rStyle w:val="8"/>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w:t>
      </w:r>
      <w:r>
        <w:rPr>
          <w:rStyle w:val="8"/>
          <w:rFonts w:hint="default" w:ascii="宋体" w:hAnsi="宋体" w:eastAsia="宋体" w:cs="宋体"/>
          <w:color w:val="000000"/>
          <w:kern w:val="0"/>
          <w:sz w:val="28"/>
          <w:szCs w:val="28"/>
          <w:shd w:val="clear" w:color="auto" w:fill="FFFFFF"/>
        </w:rPr>
        <w:t>2021年部门决算情况说明</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一、收支总体情况说明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下陆区残疾人联合会2021年度决算总收入合计200.26万元，其中：财政拨款收入200.02万元，占本年收入的99.88%，其他收入0.24万元，占本年收入的0.12%；</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2021年度决算总支出合计302.52万元，其中：基本支出168.05万元，占总支出的55.55%；项目支出134.47元，占总支出的44.45%。</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二、2021年度决算收入支出增减变化情况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度决算收入合计200.26万元，与上年决算数239.59万元减少39.33万元，主要原因是：2020年结余残疾人就业保障金102.26万元在2021年使用。与年初预算68.23相比，增加132.03万元，主要原因是：2020年结余残疾人就业保障金102.26万元在2021年使用。</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本单位2021年度支出302.52万元，与上年决算数184.74相比，增加117.78万元，主要原因是：2020年结余残疾人就业保障金在2021年使用。与年初预算68.23相比，增加234.29万元，主要原因是：2020年结余残疾人就业保障金在2021年使用，2021年度将残疾人保障金纳入财政拨款经费。</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三、2021年财政拨款收入支出决算情况说明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下陆区残疾人联合会2021年财政拨款收入总计200.02万元，年初结转结余0万元，其中：一般公共预算拨款200.02万元，年初结转结余0万元；</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2021年财政拨款支出总计200.02万元，</w:t>
      </w:r>
      <w:r>
        <w:rPr>
          <w:rFonts w:hint="eastAsia" w:ascii="Arial" w:hAnsi="Arial" w:eastAsia="宋体" w:cs="Arial"/>
          <w:i w:val="0"/>
          <w:caps w:val="0"/>
          <w:color w:val="000000"/>
          <w:spacing w:val="0"/>
          <w:sz w:val="27"/>
          <w:szCs w:val="27"/>
          <w:shd w:val="clear" w:fill="FFFFFF"/>
          <w:lang w:val="en-US" w:eastAsia="zh-CN"/>
        </w:rPr>
        <w:t>与</w:t>
      </w:r>
      <w:r>
        <w:rPr>
          <w:rFonts w:hint="default" w:ascii="Arial" w:hAnsi="Arial" w:eastAsia="宋体" w:cs="Arial"/>
          <w:i w:val="0"/>
          <w:caps w:val="0"/>
          <w:color w:val="000000"/>
          <w:spacing w:val="0"/>
          <w:sz w:val="27"/>
          <w:szCs w:val="27"/>
          <w:shd w:val="clear" w:fill="FFFFFF"/>
        </w:rPr>
        <w:t>年初预算数</w:t>
      </w:r>
      <w:r>
        <w:rPr>
          <w:rFonts w:hint="eastAsia" w:ascii="Arial" w:hAnsi="Arial" w:eastAsia="宋体" w:cs="Arial"/>
          <w:i w:val="0"/>
          <w:caps w:val="0"/>
          <w:color w:val="000000"/>
          <w:spacing w:val="0"/>
          <w:sz w:val="27"/>
          <w:szCs w:val="27"/>
          <w:shd w:val="clear" w:fill="FFFFFF"/>
          <w:lang w:val="en-US" w:eastAsia="zh-CN"/>
        </w:rPr>
        <w:t>68.23</w:t>
      </w:r>
      <w:r>
        <w:rPr>
          <w:rFonts w:hint="default" w:ascii="Arial" w:hAnsi="Arial" w:eastAsia="宋体" w:cs="Arial"/>
          <w:i w:val="0"/>
          <w:caps w:val="0"/>
          <w:color w:val="000000"/>
          <w:spacing w:val="0"/>
          <w:sz w:val="27"/>
          <w:szCs w:val="27"/>
          <w:shd w:val="clear" w:fill="FFFFFF"/>
        </w:rPr>
        <w:t>万元</w:t>
      </w:r>
      <w:r>
        <w:rPr>
          <w:rFonts w:hint="eastAsia" w:ascii="Arial" w:hAnsi="Arial" w:eastAsia="宋体" w:cs="Arial"/>
          <w:i w:val="0"/>
          <w:caps w:val="0"/>
          <w:color w:val="000000"/>
          <w:spacing w:val="0"/>
          <w:sz w:val="27"/>
          <w:szCs w:val="27"/>
          <w:shd w:val="clear" w:fill="FFFFFF"/>
          <w:lang w:val="en-US" w:eastAsia="zh-CN"/>
        </w:rPr>
        <w:t>相比增加131.79万元，原因是</w:t>
      </w:r>
      <w:r>
        <w:rPr>
          <w:rFonts w:hint="default" w:ascii="Arial" w:hAnsi="Arial" w:eastAsia="宋体" w:cs="Arial"/>
          <w:i w:val="0"/>
          <w:caps w:val="0"/>
          <w:color w:val="000000"/>
          <w:spacing w:val="0"/>
          <w:sz w:val="27"/>
          <w:szCs w:val="27"/>
          <w:shd w:val="clear" w:fill="FFFFFF"/>
        </w:rPr>
        <w:t>2021年度将残疾人保障金纳入财政拨款经费</w:t>
      </w:r>
      <w:r>
        <w:rPr>
          <w:rFonts w:hint="eastAsia" w:ascii="Arial" w:hAnsi="Arial" w:eastAsia="宋体" w:cs="Arial"/>
          <w:i w:val="0"/>
          <w:caps w:val="0"/>
          <w:color w:val="000000"/>
          <w:spacing w:val="0"/>
          <w:sz w:val="27"/>
          <w:szCs w:val="27"/>
          <w:shd w:val="clear" w:fill="FFFFFF"/>
          <w:lang w:val="en-US" w:eastAsia="zh-CN"/>
        </w:rPr>
        <w:t>，与上年决算数131万元相比增加69.02万元，原因是</w:t>
      </w:r>
      <w:r>
        <w:rPr>
          <w:rFonts w:hint="default" w:ascii="Arial" w:hAnsi="Arial" w:eastAsia="宋体" w:cs="Arial"/>
          <w:i w:val="0"/>
          <w:caps w:val="0"/>
          <w:color w:val="000000"/>
          <w:spacing w:val="0"/>
          <w:sz w:val="27"/>
          <w:szCs w:val="27"/>
          <w:shd w:val="clear" w:fill="FFFFFF"/>
        </w:rPr>
        <w:t>2020年结余残疾人就业保障金在2021年使用</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按支出性质分类：基本支出65.54万元，项目支出97.46万元，政府性基金支出37.02万元。年末财政拨款结转和结余0万元。其中：一般公共预算拨款200.02万元，年末财政拨款结转和结余0万元。</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四、2021年一般公共预算财政拨款支出决算情况说明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下陆区残疾人联合会2021年一般公共预算财政拨款支出年初预算数为68.23万元，年末支出决算数为163万元，较2020年决算数131万元增加32万元，其中：一般公共预算财政拨款增加32万元。</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按支出功能分类，社会保障和就业支出决算为163万元，较上年增加32万元，上涨24.43%。</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五、2021年一般公共预算财政拨款基本支出决算情况说明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一般公共预算财政拨款基本支出65.55万元，较上年支出71.74万元相比下降6.19万元，降幅8.63%。其中，人员经费支出54.32万元，较上年下降8.71万元，降幅13.82%。人员经费主要包括：基本工资、津贴补贴、奖金、社会保险缴费、离退休费、医疗费、住房公积金、职业年金、机关事业单位养老保险等支出。日常公用经费支出3.51万元，较上年下降0.46万元，降幅11.59%。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六、一般公共预算财政拨款“三公”经费支出决算情况说明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2021年度“三公”经费支出决算数为0万元，与2020年支出决算数0万元持平。</w:t>
      </w:r>
      <w:r>
        <w:rPr>
          <w:rFonts w:hint="eastAsia" w:ascii="Arial" w:hAnsi="Arial" w:eastAsia="宋体" w:cs="Arial"/>
          <w:i w:val="0"/>
          <w:caps w:val="0"/>
          <w:color w:val="000000"/>
          <w:spacing w:val="0"/>
          <w:sz w:val="27"/>
          <w:szCs w:val="27"/>
          <w:shd w:val="clear" w:fill="FFFFFF"/>
          <w:lang w:eastAsia="zh-CN"/>
        </w:rPr>
        <w:t>原因是单位</w:t>
      </w:r>
      <w:r>
        <w:rPr>
          <w:rFonts w:hint="default" w:ascii="Arial" w:hAnsi="Arial" w:eastAsia="宋体" w:cs="Arial"/>
          <w:i w:val="0"/>
          <w:caps w:val="0"/>
          <w:color w:val="000000"/>
          <w:spacing w:val="0"/>
          <w:sz w:val="27"/>
          <w:szCs w:val="27"/>
          <w:shd w:val="clear" w:fill="FFFFFF"/>
        </w:rPr>
        <w:t>节约费用</w:t>
      </w:r>
      <w:r>
        <w:rPr>
          <w:rFonts w:hint="eastAsia" w:ascii="Arial" w:hAnsi="Arial" w:eastAsia="宋体" w:cs="Arial"/>
          <w:i w:val="0"/>
          <w:caps w:val="0"/>
          <w:color w:val="000000"/>
          <w:spacing w:val="0"/>
          <w:sz w:val="27"/>
          <w:szCs w:val="27"/>
          <w:shd w:val="clear" w:fill="FFFFFF"/>
          <w:lang w:eastAsia="zh-CN"/>
        </w:rPr>
        <w:t>，全年无“三公”经费开支，</w:t>
      </w:r>
      <w:r>
        <w:rPr>
          <w:rFonts w:hint="default" w:ascii="Arial" w:hAnsi="Arial" w:eastAsia="宋体" w:cs="Arial"/>
          <w:i w:val="0"/>
          <w:caps w:val="0"/>
          <w:color w:val="000000"/>
          <w:spacing w:val="0"/>
          <w:sz w:val="27"/>
          <w:szCs w:val="27"/>
          <w:shd w:val="clear" w:fill="FFFFFF"/>
        </w:rPr>
        <w:t>与2021年预算0.24万元相比减少0.24万元。主要是严格执行相关规定，节约费用开支。其中:</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1、因公出国（境）费用支出决算为0万元，</w:t>
      </w:r>
      <w:r>
        <w:rPr>
          <w:rFonts w:hint="eastAsia" w:ascii="Arial" w:hAnsi="Arial" w:eastAsia="宋体" w:cs="Arial"/>
          <w:i w:val="0"/>
          <w:caps w:val="0"/>
          <w:color w:val="000000"/>
          <w:spacing w:val="0"/>
          <w:sz w:val="27"/>
          <w:szCs w:val="27"/>
          <w:shd w:val="clear" w:fill="FFFFFF"/>
          <w:lang w:val="en-US" w:eastAsia="zh-CN"/>
        </w:rPr>
        <w:t>,团组数为0组</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人数为0人</w:t>
      </w:r>
      <w:r>
        <w:rPr>
          <w:rFonts w:hint="default" w:ascii="Arial" w:hAnsi="Arial" w:eastAsia="宋体" w:cs="Arial"/>
          <w:i w:val="0"/>
          <w:caps w:val="0"/>
          <w:color w:val="000000"/>
          <w:spacing w:val="0"/>
          <w:sz w:val="27"/>
          <w:szCs w:val="27"/>
          <w:shd w:val="clear" w:fill="FFFFFF"/>
        </w:rPr>
        <w:t>。与2020年决算数</w:t>
      </w:r>
      <w:r>
        <w:rPr>
          <w:rFonts w:hint="eastAsia" w:ascii="Arial" w:hAnsi="Arial" w:eastAsia="宋体" w:cs="Arial"/>
          <w:i w:val="0"/>
          <w:caps w:val="0"/>
          <w:color w:val="000000"/>
          <w:spacing w:val="0"/>
          <w:sz w:val="27"/>
          <w:szCs w:val="27"/>
          <w:shd w:val="clear" w:fill="FFFFFF"/>
          <w:lang w:val="en-US" w:eastAsia="zh-CN"/>
        </w:rPr>
        <w:t>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原因是单位无</w:t>
      </w:r>
      <w:r>
        <w:rPr>
          <w:rFonts w:hint="default" w:ascii="Arial" w:hAnsi="Arial" w:eastAsia="宋体" w:cs="Arial"/>
          <w:i w:val="0"/>
          <w:caps w:val="0"/>
          <w:color w:val="000000"/>
          <w:spacing w:val="0"/>
          <w:sz w:val="27"/>
          <w:szCs w:val="27"/>
          <w:shd w:val="clear" w:fill="FFFFFF"/>
        </w:rPr>
        <w:t>因公出国（境）费用</w:t>
      </w:r>
      <w:r>
        <w:rPr>
          <w:rFonts w:hint="eastAsia" w:ascii="Arial" w:hAnsi="Arial" w:eastAsia="宋体" w:cs="Arial"/>
          <w:i w:val="0"/>
          <w:caps w:val="0"/>
          <w:color w:val="000000"/>
          <w:spacing w:val="0"/>
          <w:sz w:val="27"/>
          <w:szCs w:val="27"/>
          <w:shd w:val="clear" w:fill="FFFFFF"/>
          <w:lang w:eastAsia="zh-CN"/>
        </w:rPr>
        <w:t>开支</w:t>
      </w:r>
      <w:r>
        <w:rPr>
          <w:rFonts w:hint="default" w:ascii="Arial" w:hAnsi="Arial" w:eastAsia="宋体" w:cs="Arial"/>
          <w:i w:val="0"/>
          <w:caps w:val="0"/>
          <w:color w:val="000000"/>
          <w:spacing w:val="0"/>
          <w:sz w:val="27"/>
          <w:szCs w:val="27"/>
          <w:shd w:val="clear" w:fill="FFFFFF"/>
        </w:rPr>
        <w:t>。与2021年预算</w:t>
      </w:r>
      <w:r>
        <w:rPr>
          <w:rFonts w:hint="eastAsia" w:ascii="Arial" w:hAnsi="Arial" w:eastAsia="宋体" w:cs="Arial"/>
          <w:i w:val="0"/>
          <w:caps w:val="0"/>
          <w:color w:val="000000"/>
          <w:spacing w:val="0"/>
          <w:sz w:val="27"/>
          <w:szCs w:val="27"/>
          <w:shd w:val="clear" w:fill="FFFFFF"/>
          <w:lang w:val="en-US" w:eastAsia="zh-CN"/>
        </w:rPr>
        <w:t>数0万元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原因是单位无</w:t>
      </w:r>
      <w:r>
        <w:rPr>
          <w:rFonts w:hint="default" w:ascii="Arial" w:hAnsi="Arial" w:eastAsia="宋体" w:cs="Arial"/>
          <w:i w:val="0"/>
          <w:caps w:val="0"/>
          <w:color w:val="000000"/>
          <w:spacing w:val="0"/>
          <w:sz w:val="27"/>
          <w:szCs w:val="27"/>
          <w:shd w:val="clear" w:fill="FFFFFF"/>
        </w:rPr>
        <w:t>因公出国（境）费用</w:t>
      </w:r>
      <w:r>
        <w:rPr>
          <w:rFonts w:hint="eastAsia" w:ascii="Arial" w:hAnsi="Arial" w:eastAsia="宋体" w:cs="Arial"/>
          <w:i w:val="0"/>
          <w:caps w:val="0"/>
          <w:color w:val="000000"/>
          <w:spacing w:val="0"/>
          <w:sz w:val="27"/>
          <w:szCs w:val="27"/>
          <w:shd w:val="clear" w:fill="FFFFFF"/>
          <w:lang w:eastAsia="zh-CN"/>
        </w:rPr>
        <w:t>开支</w:t>
      </w:r>
      <w:r>
        <w:rPr>
          <w:rFonts w:hint="eastAsia" w:ascii="Arial" w:hAnsi="Arial" w:eastAsia="宋体" w:cs="Arial"/>
          <w:i w:val="0"/>
          <w:caps w:val="0"/>
          <w:color w:val="000000"/>
          <w:spacing w:val="0"/>
          <w:sz w:val="27"/>
          <w:szCs w:val="27"/>
          <w:shd w:val="clear" w:fill="FFFFFF"/>
          <w:lang w:val="en-US" w:eastAsia="zh-CN"/>
        </w:rPr>
        <w:t>.</w:t>
      </w:r>
    </w:p>
    <w:p>
      <w:pPr>
        <w:rPr>
          <w:rFonts w:hint="default" w:ascii="Arial" w:hAnsi="Arial" w:eastAsia="宋体" w:cs="Arial"/>
          <w:i w:val="0"/>
          <w:caps w:val="0"/>
          <w:color w:val="000000"/>
          <w:spacing w:val="0"/>
          <w:sz w:val="27"/>
          <w:szCs w:val="27"/>
          <w:shd w:val="clear" w:fill="FFFFFF"/>
        </w:rPr>
      </w:pPr>
      <w:r>
        <w:rPr>
          <w:rFonts w:hint="default" w:ascii="Arial" w:hAnsi="Arial" w:eastAsia="宋体" w:cs="Arial"/>
          <w:i w:val="0"/>
          <w:caps w:val="0"/>
          <w:color w:val="000000"/>
          <w:spacing w:val="0"/>
          <w:sz w:val="27"/>
          <w:szCs w:val="27"/>
          <w:shd w:val="clear" w:fill="FFFFFF"/>
        </w:rPr>
        <w:t>2、2021年公务用车购置及运行维护费支出决算数为</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万元，与2020年决算数</w:t>
      </w:r>
      <w:r>
        <w:rPr>
          <w:rFonts w:hint="eastAsia" w:ascii="Arial" w:hAnsi="Arial" w:eastAsia="宋体" w:cs="Arial"/>
          <w:i w:val="0"/>
          <w:caps w:val="0"/>
          <w:color w:val="000000"/>
          <w:spacing w:val="0"/>
          <w:sz w:val="27"/>
          <w:szCs w:val="27"/>
          <w:shd w:val="clear" w:fill="FFFFFF"/>
          <w:lang w:val="en-US" w:eastAsia="zh-CN"/>
        </w:rPr>
        <w:t>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原因是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default" w:ascii="Arial" w:hAnsi="Arial" w:eastAsia="宋体" w:cs="Arial"/>
          <w:i w:val="0"/>
          <w:caps w:val="0"/>
          <w:color w:val="000000"/>
          <w:spacing w:val="0"/>
          <w:sz w:val="27"/>
          <w:szCs w:val="27"/>
          <w:shd w:val="clear" w:fill="FFFFFF"/>
        </w:rPr>
        <w:t>与2021年预算</w:t>
      </w:r>
      <w:r>
        <w:rPr>
          <w:rFonts w:hint="eastAsia" w:ascii="Arial" w:hAnsi="Arial" w:eastAsia="宋体" w:cs="Arial"/>
          <w:i w:val="0"/>
          <w:caps w:val="0"/>
          <w:color w:val="000000"/>
          <w:spacing w:val="0"/>
          <w:sz w:val="27"/>
          <w:szCs w:val="27"/>
          <w:shd w:val="clear" w:fill="FFFFFF"/>
          <w:lang w:val="en-US" w:eastAsia="zh-CN"/>
        </w:rPr>
        <w:t>数0万元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default" w:ascii="Arial" w:hAnsi="Arial" w:eastAsia="宋体" w:cs="Arial"/>
          <w:i w:val="0"/>
          <w:caps w:val="0"/>
          <w:color w:val="000000"/>
          <w:spacing w:val="0"/>
          <w:sz w:val="27"/>
          <w:szCs w:val="27"/>
          <w:shd w:val="clear" w:fill="FFFFFF"/>
        </w:rPr>
        <w:t>。其中：</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（1）</w:t>
      </w:r>
      <w:r>
        <w:rPr>
          <w:rFonts w:hint="eastAsia" w:ascii="Arial" w:hAnsi="Arial" w:eastAsia="宋体" w:cs="Arial"/>
          <w:i w:val="0"/>
          <w:caps w:val="0"/>
          <w:color w:val="000000"/>
          <w:spacing w:val="0"/>
          <w:sz w:val="27"/>
          <w:szCs w:val="27"/>
          <w:shd w:val="clear" w:fill="FFFFFF"/>
          <w:lang w:val="en-US" w:eastAsia="zh-CN"/>
        </w:rPr>
        <w:t>我单位</w:t>
      </w:r>
      <w:r>
        <w:rPr>
          <w:rFonts w:hint="default" w:ascii="Arial" w:hAnsi="Arial" w:eastAsia="宋体" w:cs="Arial"/>
          <w:i w:val="0"/>
          <w:caps w:val="0"/>
          <w:color w:val="000000"/>
          <w:spacing w:val="0"/>
          <w:sz w:val="27"/>
          <w:szCs w:val="27"/>
          <w:shd w:val="clear" w:fill="FFFFFF"/>
        </w:rPr>
        <w:t>公务用车购置费为0万元，车型为：无 ，本年度公务用车购置数0辆</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公务用车保有量为</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台</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与2020年决算数</w:t>
      </w:r>
      <w:r>
        <w:rPr>
          <w:rFonts w:hint="eastAsia" w:ascii="Arial" w:hAnsi="Arial" w:eastAsia="宋体" w:cs="Arial"/>
          <w:i w:val="0"/>
          <w:caps w:val="0"/>
          <w:color w:val="000000"/>
          <w:spacing w:val="0"/>
          <w:sz w:val="27"/>
          <w:szCs w:val="27"/>
          <w:shd w:val="clear" w:fill="FFFFFF"/>
          <w:lang w:val="en-US" w:eastAsia="zh-CN"/>
        </w:rPr>
        <w:t>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原因是单位未购置公车</w:t>
      </w:r>
      <w:r>
        <w:rPr>
          <w:rFonts w:hint="default" w:ascii="Arial" w:hAnsi="Arial" w:eastAsia="宋体" w:cs="Arial"/>
          <w:i w:val="0"/>
          <w:caps w:val="0"/>
          <w:color w:val="000000"/>
          <w:spacing w:val="0"/>
          <w:sz w:val="27"/>
          <w:szCs w:val="27"/>
          <w:shd w:val="clear" w:fill="FFFFFF"/>
        </w:rPr>
        <w:t>。与2021年预算</w:t>
      </w:r>
      <w:r>
        <w:rPr>
          <w:rFonts w:hint="eastAsia" w:ascii="Arial" w:hAnsi="Arial" w:eastAsia="宋体" w:cs="Arial"/>
          <w:i w:val="0"/>
          <w:caps w:val="0"/>
          <w:color w:val="000000"/>
          <w:spacing w:val="0"/>
          <w:sz w:val="27"/>
          <w:szCs w:val="27"/>
          <w:shd w:val="clear" w:fill="FFFFFF"/>
          <w:lang w:val="en-US" w:eastAsia="zh-CN"/>
        </w:rPr>
        <w:t>数0万元</w:t>
      </w:r>
      <w:r>
        <w:rPr>
          <w:rFonts w:hint="eastAsia" w:ascii="Arial" w:hAnsi="Arial" w:eastAsia="宋体" w:cs="Arial"/>
          <w:i w:val="0"/>
          <w:caps w:val="0"/>
          <w:color w:val="000000"/>
          <w:spacing w:val="0"/>
          <w:sz w:val="27"/>
          <w:szCs w:val="27"/>
          <w:shd w:val="clear" w:fill="FFFFFF"/>
          <w:lang w:eastAsia="zh-CN"/>
        </w:rPr>
        <w:t>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原因是单位未购置公车</w:t>
      </w:r>
      <w:r>
        <w:rPr>
          <w:rFonts w:hint="default" w:ascii="Arial" w:hAnsi="Arial" w:eastAsia="宋体" w:cs="Arial"/>
          <w:i w:val="0"/>
          <w:caps w:val="0"/>
          <w:color w:val="000000"/>
          <w:spacing w:val="0"/>
          <w:sz w:val="27"/>
          <w:szCs w:val="27"/>
          <w:shd w:val="clear" w:fill="FFFFFF"/>
        </w:rPr>
        <w:t>。</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（2）公务用车运行维护费</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万元，与2020年支出决算数</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w:t>
      </w:r>
      <w:r>
        <w:rPr>
          <w:rFonts w:hint="eastAsia" w:ascii="Arial" w:hAnsi="Arial" w:eastAsia="宋体" w:cs="Arial"/>
          <w:i w:val="0"/>
          <w:caps w:val="0"/>
          <w:color w:val="000000"/>
          <w:spacing w:val="0"/>
          <w:sz w:val="27"/>
          <w:szCs w:val="27"/>
          <w:shd w:val="clear" w:fill="FFFFFF"/>
          <w:lang w:val="en-US" w:eastAsia="zh-CN"/>
        </w:rPr>
        <w:t>相比持平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eastAsia" w:ascii="Arial" w:hAnsi="Arial" w:eastAsia="宋体" w:cs="Arial"/>
          <w:i w:val="0"/>
          <w:caps w:val="0"/>
          <w:color w:val="000000"/>
          <w:spacing w:val="0"/>
          <w:sz w:val="27"/>
          <w:szCs w:val="27"/>
          <w:shd w:val="clear" w:fill="FFFFFF"/>
          <w:lang w:val="en-US" w:eastAsia="zh-CN"/>
        </w:rPr>
        <w:t>与2021年预算数0万元相比持平,原因</w:t>
      </w:r>
      <w:r>
        <w:rPr>
          <w:rFonts w:hint="default" w:ascii="Arial" w:hAnsi="Arial" w:eastAsia="宋体" w:cs="Arial"/>
          <w:i w:val="0"/>
          <w:caps w:val="0"/>
          <w:color w:val="000000"/>
          <w:spacing w:val="0"/>
          <w:sz w:val="27"/>
          <w:szCs w:val="27"/>
          <w:shd w:val="clear" w:fill="FFFFFF"/>
        </w:rPr>
        <w:t>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3、公务接待支出决算数为</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共接待</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批次、</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人。</w:t>
      </w:r>
      <w:r>
        <w:rPr>
          <w:rFonts w:hint="eastAsia" w:ascii="Arial" w:hAnsi="Arial" w:eastAsia="宋体" w:cs="Arial"/>
          <w:i w:val="0"/>
          <w:caps w:val="0"/>
          <w:color w:val="000000"/>
          <w:spacing w:val="0"/>
          <w:sz w:val="27"/>
          <w:szCs w:val="27"/>
          <w:shd w:val="clear" w:fill="FFFFFF"/>
          <w:lang w:val="en-US" w:eastAsia="zh-CN"/>
        </w:rPr>
        <w:t>与2021年预算数0.24万元相比减少0.24万元，原因是</w:t>
      </w:r>
      <w:r>
        <w:rPr>
          <w:rFonts w:hint="default" w:ascii="Arial" w:hAnsi="Arial" w:eastAsia="宋体" w:cs="Arial"/>
          <w:i w:val="0"/>
          <w:caps w:val="0"/>
          <w:color w:val="000000"/>
          <w:spacing w:val="0"/>
          <w:sz w:val="27"/>
          <w:szCs w:val="27"/>
          <w:shd w:val="clear" w:fill="FFFFFF"/>
        </w:rPr>
        <w:t>单位从严控制支出</w:t>
      </w:r>
      <w:r>
        <w:rPr>
          <w:rFonts w:hint="eastAsia" w:ascii="Arial" w:hAnsi="Arial" w:eastAsia="宋体" w:cs="Arial"/>
          <w:i w:val="0"/>
          <w:caps w:val="0"/>
          <w:color w:val="000000"/>
          <w:spacing w:val="0"/>
          <w:sz w:val="27"/>
          <w:szCs w:val="27"/>
          <w:shd w:val="clear" w:fill="FFFFFF"/>
          <w:lang w:eastAsia="zh-CN"/>
        </w:rPr>
        <w:t>，全年无费用开支</w:t>
      </w:r>
      <w:r>
        <w:rPr>
          <w:rFonts w:hint="eastAsia" w:ascii="Arial" w:hAnsi="Arial" w:eastAsia="宋体" w:cs="Arial"/>
          <w:i w:val="0"/>
          <w:caps w:val="0"/>
          <w:color w:val="000000"/>
          <w:spacing w:val="0"/>
          <w:sz w:val="27"/>
          <w:szCs w:val="27"/>
          <w:shd w:val="clear" w:fill="FFFFFF"/>
          <w:lang w:val="en-US" w:eastAsia="zh-CN"/>
        </w:rPr>
        <w:t>，</w:t>
      </w:r>
      <w:r>
        <w:rPr>
          <w:rFonts w:hint="default" w:ascii="Arial" w:hAnsi="Arial" w:eastAsia="宋体" w:cs="Arial"/>
          <w:i w:val="0"/>
          <w:caps w:val="0"/>
          <w:color w:val="000000"/>
          <w:spacing w:val="0"/>
          <w:sz w:val="27"/>
          <w:szCs w:val="27"/>
          <w:shd w:val="clear" w:fill="FFFFFF"/>
        </w:rPr>
        <w:t>与2020年支出决算数</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万元相比</w:t>
      </w:r>
      <w:r>
        <w:rPr>
          <w:rFonts w:hint="eastAsia" w:ascii="Arial" w:hAnsi="Arial" w:eastAsia="宋体" w:cs="Arial"/>
          <w:i w:val="0"/>
          <w:caps w:val="0"/>
          <w:color w:val="000000"/>
          <w:spacing w:val="0"/>
          <w:sz w:val="27"/>
          <w:szCs w:val="27"/>
          <w:shd w:val="clear" w:fill="FFFFFF"/>
          <w:lang w:val="en-US" w:eastAsia="zh-CN"/>
        </w:rPr>
        <w:t>持平,</w:t>
      </w:r>
      <w:r>
        <w:rPr>
          <w:rFonts w:hint="default" w:ascii="Arial" w:hAnsi="Arial" w:eastAsia="宋体" w:cs="Arial"/>
          <w:i w:val="0"/>
          <w:caps w:val="0"/>
          <w:color w:val="000000"/>
          <w:spacing w:val="0"/>
          <w:sz w:val="27"/>
          <w:szCs w:val="27"/>
          <w:shd w:val="clear" w:fill="FFFFFF"/>
        </w:rPr>
        <w:t>原因</w:t>
      </w:r>
      <w:r>
        <w:rPr>
          <w:rFonts w:hint="eastAsia" w:ascii="Arial" w:hAnsi="Arial" w:eastAsia="宋体" w:cs="Arial"/>
          <w:i w:val="0"/>
          <w:caps w:val="0"/>
          <w:color w:val="000000"/>
          <w:spacing w:val="0"/>
          <w:sz w:val="27"/>
          <w:szCs w:val="27"/>
          <w:shd w:val="clear" w:fill="FFFFFF"/>
          <w:lang w:val="en-US" w:eastAsia="zh-CN"/>
        </w:rPr>
        <w:t>是</w:t>
      </w:r>
      <w:r>
        <w:rPr>
          <w:rFonts w:hint="default" w:ascii="Arial" w:hAnsi="Arial" w:eastAsia="宋体" w:cs="Arial"/>
          <w:i w:val="0"/>
          <w:caps w:val="0"/>
          <w:color w:val="000000"/>
          <w:spacing w:val="0"/>
          <w:sz w:val="27"/>
          <w:szCs w:val="27"/>
          <w:shd w:val="clear" w:fill="FFFFFF"/>
        </w:rPr>
        <w:t>我单位认真贯彻八项规定</w:t>
      </w:r>
      <w:bookmarkStart w:id="0" w:name="_GoBack"/>
      <w:bookmarkEnd w:id="0"/>
      <w:r>
        <w:rPr>
          <w:rFonts w:hint="default" w:ascii="Arial" w:hAnsi="Arial" w:eastAsia="宋体" w:cs="Arial"/>
          <w:i w:val="0"/>
          <w:caps w:val="0"/>
          <w:color w:val="000000"/>
          <w:spacing w:val="0"/>
          <w:sz w:val="27"/>
          <w:szCs w:val="27"/>
          <w:shd w:val="clear" w:fill="FFFFFF"/>
        </w:rPr>
        <w:t>精神，从严控制支出。</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七、机关运行经费执行情况说明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 2021年度机关运行经费3.51万元，较2021年预算4.95万元相比减少了1.44万元。主要是将公务交通补贴纳入人员经费。</w:t>
      </w:r>
      <w:r>
        <w:rPr>
          <w:rFonts w:hint="eastAsia" w:ascii="Arial" w:hAnsi="Arial" w:eastAsia="宋体" w:cs="Arial"/>
          <w:i w:val="0"/>
          <w:caps w:val="0"/>
          <w:color w:val="000000"/>
          <w:spacing w:val="0"/>
          <w:sz w:val="27"/>
          <w:szCs w:val="27"/>
          <w:shd w:val="clear" w:fill="FFFFFF"/>
          <w:lang w:eastAsia="zh-CN"/>
        </w:rPr>
        <w:t>与</w:t>
      </w:r>
      <w:r>
        <w:rPr>
          <w:rFonts w:hint="eastAsia" w:ascii="Arial" w:hAnsi="Arial" w:eastAsia="宋体" w:cs="Arial"/>
          <w:i w:val="0"/>
          <w:caps w:val="0"/>
          <w:color w:val="000000"/>
          <w:spacing w:val="0"/>
          <w:sz w:val="27"/>
          <w:szCs w:val="27"/>
          <w:shd w:val="clear" w:fill="FFFFFF"/>
          <w:lang w:val="en-US" w:eastAsia="zh-CN"/>
        </w:rPr>
        <w:t>2020年决算数3.97万元相比减少0.46万元，主要是2020年将购置了沙发、椅子</w:t>
      </w:r>
      <w:r>
        <w:rPr>
          <w:rFonts w:hint="eastAsia" w:ascii="Arial" w:hAnsi="Arial" w:eastAsia="宋体" w:cs="Arial"/>
          <w:color w:val="000000"/>
          <w:kern w:val="0"/>
          <w:szCs w:val="21"/>
          <w:shd w:val="clear" w:color="auto" w:fill="FFFFFF"/>
          <w:lang w:val="en-US" w:eastAsia="zh-CN"/>
        </w:rPr>
        <w:t>。</w:t>
      </w:r>
      <w:r>
        <w:rPr>
          <w:rFonts w:hint="default" w:ascii="Arial" w:hAnsi="Arial" w:eastAsia="宋体" w:cs="Arial"/>
          <w:i w:val="0"/>
          <w:caps w:val="0"/>
          <w:color w:val="000000"/>
          <w:spacing w:val="0"/>
          <w:sz w:val="27"/>
          <w:szCs w:val="27"/>
          <w:shd w:val="clear" w:fill="FFFFFF"/>
        </w:rPr>
        <w:t>主要用于办公费0.39万元、水费0.05万元、电费1.17万元、邮电费0.11万元、差旅费0.01万元、日常维修费0.04万元、工会经费1.22万元、福利费0.52万元。</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八、政府采购执行情况说明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2021年度我单位政府采购预算计划金额4万元，其中一般公共预算4万元，其他资金0万元；主要用于购买货物3万元，工程0万元，服务1万元。 2021年政府采购授予中小企业合同总额4万元，占政府采购合同总额的100%；其中：授予小微企业合同金额4万元，占政府采购支出总额的100%。</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我单位政府实际采购金额17.74万元，其中一般公共预算0万元，其他资金17.74万元；主要用于购买货物0万元，工程17.74万元，服务0万元。2021年政府采购授予中小企业合同总额17.74万元，占政府采购合同总额的100%；其中：授予小微企业合同金额17.74万元，占政府采购支出总额的100%。</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政府采购支出总额比2020年度14.72万元增加3.02万元，增涨20.52%，主要原因:支付残疾人无障碍改造工程支出增加。</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九、国有资产占用情况说明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2021年度我单位共占有车辆数0台，其中：机要通信用车0台，应急保障用车0台，执法执勤用车0台，特种专用技术用车0台，其他用车0台；单价50万元以上通用设备0台；单价100万元以上专用设备0台。</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w:t>
      </w:r>
      <w:r>
        <w:rPr>
          <w:rStyle w:val="8"/>
          <w:rFonts w:hint="default" w:ascii="Arial" w:hAnsi="Arial" w:eastAsia="宋体" w:cs="Arial"/>
          <w:i w:val="0"/>
          <w:caps w:val="0"/>
          <w:color w:val="000000"/>
          <w:spacing w:val="0"/>
          <w:sz w:val="27"/>
          <w:szCs w:val="27"/>
          <w:shd w:val="clear" w:fill="FFFFFF"/>
        </w:rPr>
        <w:t>其他情况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我单位无举借政府债务情况、无扶贫专项资金情况、无财政专项支出情况、无专项转移支付情况。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政府性基金预算财政拨款收入37.02万元，比上年政府性基金收入0万元相比增加37.02万元，2021年度政府性基金预算财政拨款支出37.02万元，比上年政府性基金支出0万元相比，增加37.02万元，系2021年有用彩票福利基金收入支出残疾儿童下半年机构康复费用支出。</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十一、预算绩效工作开展情况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  （一）预算绩效管理工作开展情况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根据预算绩效管理要求，我单位组织对2021年度一般公共预算项目支出全面开展绩效自评，共涉及项目1个，资金3万元，占一般公共预算项目支出总额的100％。从评价情况来看，下陆区残疾人联合会整体支出项目已经结束，年度绩效目标已经全部完成。通过实施这个项目，办公室及时掌握时事政治信息及提升人文化素养，对下陆区残疾人筛查工作，加强救治严重精神病患者肇事肇祸及残疾人合法权益进一步依法保障，坚守弱有所扶的原则立场，始终把推进残疾人事业当作应尽之责、份内之责。</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组织开展部门整体支出绩效评价，评价情况来看，区残联抓住重点，细化方案，建档立库。针对项目设置项目实施方案，明确项目内容、申报条件和审批流程等。区残联建立专门档案，完整反映计划执行的全过程，严格管理，加强监督检查。2021年，我单位对项目制定细化、明确的预算绩效目标和可考核、可量化的绩效指标，并加强对绩效目标的审核，将其作为预算编制和资金安排的前置条件和重要依据。加强对支出政策效果和资金使用绩效的监控，将预算绩效评价结果作为预算安排、政策调整的重要依据。</w:t>
      </w:r>
    </w:p>
    <w:tbl>
      <w:tblPr>
        <w:tblStyle w:val="6"/>
        <w:tblW w:w="9420" w:type="dxa"/>
        <w:tblInd w:w="0" w:type="dxa"/>
        <w:shd w:val="clear" w:color="auto" w:fill="auto"/>
        <w:tblLayout w:type="autofit"/>
        <w:tblCellMar>
          <w:top w:w="0" w:type="dxa"/>
          <w:left w:w="0" w:type="dxa"/>
          <w:bottom w:w="0" w:type="dxa"/>
          <w:right w:w="0" w:type="dxa"/>
        </w:tblCellMar>
      </w:tblPr>
      <w:tblGrid>
        <w:gridCol w:w="644"/>
        <w:gridCol w:w="629"/>
        <w:gridCol w:w="660"/>
        <w:gridCol w:w="405"/>
        <w:gridCol w:w="2516"/>
        <w:gridCol w:w="2181"/>
        <w:gridCol w:w="810"/>
        <w:gridCol w:w="825"/>
        <w:gridCol w:w="750"/>
      </w:tblGrid>
      <w:tr>
        <w:tblPrEx>
          <w:shd w:val="clear" w:color="auto" w:fill="auto"/>
          <w:tblCellMar>
            <w:top w:w="0" w:type="dxa"/>
            <w:left w:w="0" w:type="dxa"/>
            <w:bottom w:w="0" w:type="dxa"/>
            <w:right w:w="0" w:type="dxa"/>
          </w:tblCellMar>
        </w:tblPrEx>
        <w:trPr>
          <w:trHeight w:val="559" w:hRule="atLeast"/>
        </w:trPr>
        <w:tc>
          <w:tcPr>
            <w:tcW w:w="9424"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76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黄石市下陆区残疾人联合会</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65.55</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76.46</w:t>
            </w:r>
          </w:p>
        </w:tc>
      </w:tr>
      <w:tr>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142.01</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68.3</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207.92%</w:t>
            </w: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34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142.01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3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142.01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3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142.01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88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0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499" w:hRule="atLeast"/>
        </w:trPr>
        <w:tc>
          <w:tcPr>
            <w:tcW w:w="703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pPr>
        <w:rPr>
          <w:rFonts w:hint="default" w:ascii="Arial" w:hAnsi="Arial" w:eastAsia="宋体" w:cs="Arial"/>
          <w:i w:val="0"/>
          <w:caps w:val="0"/>
          <w:color w:val="000000"/>
          <w:spacing w:val="0"/>
          <w:sz w:val="27"/>
          <w:szCs w:val="27"/>
          <w:shd w:val="clear" w:fill="FFFFFF"/>
        </w:rPr>
      </w:pP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（二）部门决算中项目绩效自评结果</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我部门今年在部门决算中反映所有项目绩效自评结果。</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残联专项经费绩效自评综述：</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项目全年预算数为3万元，执行数为3万元，完成预算100％。主要产出和效益：一是为办公室及时掌握时事政治信息及提升残疾人文化素养；二是加强精神病患者服药补贴，对易肇事肇祸精神病患者进行救助。</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下一步改进措施：一是根据年初制定的资金主要支出方向，定期进行预算执行分析工作，通过预算执行分析及时的发现并解决问题，以更好的实施全面预算管理。</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（三）绩效评级结果应用情况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 1.部门绩效评价结果应用情况。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区残联将建立评价结果和预算安排有机结合的机制，将上一年度绩效自评结果作为安排2022年度预算的基本依据，评价结果差的，调减该项目预算，评价结果好的，优先安排，并予以适当激励。 </w:t>
      </w:r>
    </w:p>
    <w:p>
      <w:pPr>
        <w:rPr>
          <w:rFonts w:hint="default" w:ascii="Arial" w:hAnsi="Arial" w:eastAsia="宋体" w:cs="Arial"/>
          <w:i w:val="0"/>
          <w:caps w:val="0"/>
          <w:color w:val="000000"/>
          <w:spacing w:val="0"/>
          <w:sz w:val="27"/>
          <w:szCs w:val="27"/>
          <w:shd w:val="clear" w:fill="FFFFFF"/>
        </w:rPr>
      </w:pPr>
    </w:p>
    <w:p>
      <w:pPr>
        <w:jc w:val="center"/>
        <w:rPr>
          <w:rFonts w:hint="eastAsia" w:ascii="Arial" w:hAnsi="Arial" w:eastAsia="宋体" w:cs="Arial"/>
          <w:i w:val="0"/>
          <w:caps w:val="0"/>
          <w:color w:val="000000"/>
          <w:spacing w:val="0"/>
          <w:sz w:val="27"/>
          <w:szCs w:val="27"/>
          <w:shd w:val="clear" w:fill="FFFFFF"/>
          <w:lang w:eastAsia="zh-CN"/>
        </w:rPr>
      </w:pPr>
      <w:r>
        <w:rPr>
          <w:rFonts w:hint="default" w:ascii="Arial" w:hAnsi="Arial" w:eastAsia="宋体" w:cs="Arial"/>
          <w:b/>
          <w:bCs/>
          <w:i w:val="0"/>
          <w:caps w:val="0"/>
          <w:color w:val="000000"/>
          <w:spacing w:val="0"/>
          <w:sz w:val="27"/>
          <w:szCs w:val="27"/>
          <w:shd w:val="clear" w:fill="FFFFFF"/>
        </w:rPr>
        <w:t>残联专项经费绩效自评</w:t>
      </w:r>
      <w:r>
        <w:rPr>
          <w:rFonts w:hint="eastAsia" w:ascii="Arial" w:hAnsi="Arial" w:eastAsia="宋体" w:cs="Arial"/>
          <w:b/>
          <w:bCs/>
          <w:i w:val="0"/>
          <w:caps w:val="0"/>
          <w:color w:val="000000"/>
          <w:spacing w:val="0"/>
          <w:sz w:val="27"/>
          <w:szCs w:val="27"/>
          <w:shd w:val="clear"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hint="eastAsia" w:ascii="Arial" w:eastAsia="宋体"/>
                <w:sz w:val="21"/>
                <w:lang w:eastAsia="zh-CN"/>
              </w:rPr>
            </w:pPr>
            <w:r>
              <w:rPr>
                <w:rFonts w:hint="eastAsia" w:ascii="Arial"/>
                <w:sz w:val="21"/>
                <w:lang w:eastAsia="zh-CN"/>
              </w:rPr>
              <w:t>残联专项经费项目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黄石市下陆区残疾人联合会</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hint="eastAsia" w:ascii="Arial" w:eastAsia="宋体"/>
                <w:sz w:val="21"/>
                <w:lang w:eastAsia="zh-CN"/>
              </w:rPr>
            </w:pPr>
            <w:r>
              <w:rPr>
                <w:rFonts w:hint="eastAsia" w:ascii="Arial"/>
                <w:sz w:val="21"/>
                <w:lang w:eastAsia="zh-CN"/>
              </w:rPr>
              <w:t>黄石市下陆区残疾人联合会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3</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服务残疾人数</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50</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50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质量指标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服务残疾质量</w:t>
            </w:r>
          </w:p>
        </w:tc>
        <w:tc>
          <w:tcPr>
            <w:tcW w:w="1458" w:type="dxa"/>
            <w:noWrap w:val="0"/>
            <w:vAlign w:val="top"/>
          </w:tcPr>
          <w:p>
            <w:pPr>
              <w:rPr>
                <w:rFonts w:hint="eastAsia" w:ascii="Arial" w:eastAsia="宋体"/>
                <w:sz w:val="21"/>
                <w:lang w:eastAsia="zh-CN"/>
              </w:rPr>
            </w:pPr>
            <w:r>
              <w:rPr>
                <w:rFonts w:hint="eastAsia" w:ascii="Arial"/>
                <w:sz w:val="21"/>
                <w:lang w:eastAsia="zh-CN"/>
              </w:rPr>
              <w:t>有所提高</w:t>
            </w:r>
          </w:p>
        </w:tc>
        <w:tc>
          <w:tcPr>
            <w:tcW w:w="1318" w:type="dxa"/>
            <w:gridSpan w:val="2"/>
            <w:noWrap w:val="0"/>
            <w:vAlign w:val="top"/>
          </w:tcPr>
          <w:p>
            <w:pPr>
              <w:rPr>
                <w:rFonts w:hint="eastAsia" w:ascii="Arial" w:eastAsia="宋体"/>
                <w:sz w:val="21"/>
                <w:lang w:eastAsia="zh-CN"/>
              </w:rPr>
            </w:pPr>
            <w:r>
              <w:rPr>
                <w:rFonts w:hint="eastAsia" w:ascii="Arial"/>
                <w:sz w:val="21"/>
                <w:lang w:eastAsia="zh-CN"/>
              </w:rPr>
              <w:t>有所提高</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时效指标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服务残疾时长</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12个月</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12个月</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经济效益</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减轻残疾人家庭生活负担</w:t>
            </w:r>
          </w:p>
        </w:tc>
        <w:tc>
          <w:tcPr>
            <w:tcW w:w="1458" w:type="dxa"/>
            <w:noWrap w:val="0"/>
            <w:vAlign w:val="top"/>
          </w:tcPr>
          <w:p>
            <w:pPr>
              <w:rPr>
                <w:rFonts w:hint="eastAsia" w:ascii="Arial" w:eastAsia="宋体"/>
                <w:sz w:val="21"/>
                <w:lang w:eastAsia="zh-CN"/>
              </w:rPr>
            </w:pPr>
            <w:r>
              <w:rPr>
                <w:rFonts w:hint="eastAsia" w:ascii="Arial"/>
                <w:sz w:val="21"/>
                <w:lang w:eastAsia="zh-CN"/>
              </w:rPr>
              <w:t>有所减轻</w:t>
            </w:r>
          </w:p>
        </w:tc>
        <w:tc>
          <w:tcPr>
            <w:tcW w:w="1318" w:type="dxa"/>
            <w:gridSpan w:val="2"/>
            <w:noWrap w:val="0"/>
            <w:vAlign w:val="top"/>
          </w:tcPr>
          <w:p>
            <w:pPr>
              <w:rPr>
                <w:rFonts w:hint="eastAsia" w:ascii="Arial" w:eastAsia="宋体"/>
                <w:sz w:val="21"/>
                <w:lang w:eastAsia="zh-CN"/>
              </w:rPr>
            </w:pPr>
            <w:r>
              <w:rPr>
                <w:rFonts w:hint="eastAsia" w:ascii="Arial"/>
                <w:sz w:val="21"/>
                <w:lang w:eastAsia="zh-CN"/>
              </w:rPr>
              <w:t>有所减轻</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服务残疾人满意度指标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残疾人家庭满意率</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85%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523" w:type="dxa"/>
            <w:gridSpan w:val="3"/>
            <w:noWrap w:val="0"/>
            <w:vAlign w:val="top"/>
          </w:tcPr>
          <w:p>
            <w:pPr>
              <w:spacing w:line="242" w:lineRule="auto"/>
              <w:rPr>
                <w:rFonts w:ascii="Arial"/>
                <w:sz w:val="21"/>
              </w:rPr>
            </w:pPr>
          </w:p>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eastAsia" w:ascii="Arial" w:eastAsiaTheme="minorEastAsia"/>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1523" w:type="dxa"/>
            <w:gridSpan w:val="3"/>
            <w:noWrap w:val="0"/>
            <w:vAlign w:val="top"/>
          </w:tcPr>
          <w:p>
            <w:pPr>
              <w:spacing w:line="269" w:lineRule="auto"/>
              <w:rPr>
                <w:rFonts w:ascii="Arial"/>
                <w:sz w:val="21"/>
              </w:rPr>
            </w:pPr>
          </w:p>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jc w:val="center"/>
              <w:rPr>
                <w:rFonts w:hint="eastAsia" w:ascii="Arial" w:eastAsiaTheme="minorEastAsia"/>
                <w:sz w:val="21"/>
                <w:lang w:eastAsia="zh-CN"/>
              </w:rPr>
            </w:pPr>
            <w:r>
              <w:rPr>
                <w:rFonts w:hint="eastAsia" w:ascii="Arial"/>
                <w:sz w:val="21"/>
                <w:lang w:eastAsia="zh-CN"/>
              </w:rPr>
              <w:t>无</w:t>
            </w:r>
          </w:p>
        </w:tc>
      </w:tr>
    </w:tbl>
    <w:p>
      <w:pPr>
        <w:rPr>
          <w:rFonts w:ascii="Arial" w:hAnsi="Arial" w:eastAsia="宋体" w:cs="Arial"/>
          <w:color w:val="000000"/>
          <w:kern w:val="0"/>
          <w:szCs w:val="21"/>
          <w:shd w:val="clear" w:color="auto" w:fill="FFFFFF"/>
        </w:rPr>
      </w:pP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第四部分、名词解释</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一、财政拨款收入：指财政部门当年拨付的资金。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二、事业收入：指事业单位开展专业业务活动及辅助活动所取得的收入。</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三、经营收入：指事业单位在专业业务活动及其辅助活动之外开展非独立核算经营活动取得的收入。</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四、其他收入：指除上述“财政拨款收入”、“事业收入”、“经营收入”等以外的收入。</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六、年初结转和结余：指以前年度尚未完成、结转到本年 按有关规定继续使用的资金。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七、结余分配：指事业单位按规定提取的职工福利基金、事业基金和缴纳的所得税，以及建设单位按规定应交回的基本建设竣工项目结余资金。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八、年末结转和结余：指本年度或以前年度预算安排、因客观条件发生变化无法按原计划实施，需要延迟到以后年度按有关规定继续使用的资金。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九、基本支出：指为保障机构正常运转、完成日常工作任务而发生的人员支出和公用支出。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十、项目支出：指在基本支出之外为完成特定行政任务和事业发展目标所发生的支出。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十一、经营支出：指事业单位在专业业务活动及其辅助活动之外开展非独立核算经营活动发生的支出。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1991104"/>
    <w:rsid w:val="00231369"/>
    <w:rsid w:val="003A7FF5"/>
    <w:rsid w:val="005B3305"/>
    <w:rsid w:val="005E3E95"/>
    <w:rsid w:val="006E2F89"/>
    <w:rsid w:val="00A35629"/>
    <w:rsid w:val="00C0436C"/>
    <w:rsid w:val="00C84E1C"/>
    <w:rsid w:val="00FC3C29"/>
    <w:rsid w:val="025B4E83"/>
    <w:rsid w:val="0FA12D05"/>
    <w:rsid w:val="126623E0"/>
    <w:rsid w:val="13615059"/>
    <w:rsid w:val="1C5A32BB"/>
    <w:rsid w:val="1F05015E"/>
    <w:rsid w:val="21991104"/>
    <w:rsid w:val="2AA86343"/>
    <w:rsid w:val="2BEC2CD3"/>
    <w:rsid w:val="342E71B9"/>
    <w:rsid w:val="419202B1"/>
    <w:rsid w:val="49101494"/>
    <w:rsid w:val="49EA0400"/>
    <w:rsid w:val="6184068B"/>
    <w:rsid w:val="649476E3"/>
    <w:rsid w:val="68225B6F"/>
    <w:rsid w:val="72723FAB"/>
    <w:rsid w:val="778E5FB5"/>
    <w:rsid w:val="77B259A3"/>
    <w:rsid w:val="7F59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800</Words>
  <Characters>4564</Characters>
  <Lines>38</Lines>
  <Paragraphs>10</Paragraphs>
  <TotalTime>5</TotalTime>
  <ScaleCrop>false</ScaleCrop>
  <LinksUpToDate>false</LinksUpToDate>
  <CharactersWithSpaces>5354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2023-05-13T07:07:00Z</dcterms:created>
  <dc:creator>Administrator</dc:creator>
  <cp:lastModifiedBy>墨墨</cp:lastModifiedBy>
  <dcterms:modified xsi:type="dcterms:W3CDTF">2023-08-23T09:13:07Z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5FC0BD9E950B4F4E8541D655FE785331_11</vt:lpwstr>
  </property>
</Properties>
</file>